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spacing w:line="590" w:lineRule="exact"/>
        <w:jc w:val="center"/>
        <w:rPr>
          <w:rFonts w:hint="default" w:ascii="Times New Roman" w:hAnsi="Times New Roman" w:eastAsia="方正小标宋简体" w:cs="Times New Roman"/>
          <w:kern w:val="2"/>
          <w:sz w:val="36"/>
          <w:szCs w:val="36"/>
        </w:rPr>
      </w:pPr>
      <w:r>
        <w:rPr>
          <w:rFonts w:hint="eastAsia" w:ascii="方正小标宋简体" w:hAnsi="等线" w:eastAsia="方正小标宋简体" w:cs="方正小标宋简体"/>
          <w:kern w:val="2"/>
          <w:sz w:val="36"/>
          <w:szCs w:val="36"/>
        </w:rPr>
        <w:t>昆明市石林彝族自治县人民检察院2019年度部门决算</w:t>
      </w:r>
    </w:p>
    <w:p>
      <w:pPr>
        <w:autoSpaceDE w:val="0"/>
        <w:autoSpaceDN w:val="0"/>
        <w:adjustRightInd w:val="0"/>
        <w:spacing w:line="590" w:lineRule="exact"/>
        <w:jc w:val="center"/>
        <w:rPr>
          <w:rFonts w:hint="default" w:ascii="Times New Roman" w:hAnsi="Times New Roman" w:eastAsia="方正小标宋简体" w:cs="Times New Roman"/>
          <w:kern w:val="2"/>
          <w:sz w:val="36"/>
          <w:szCs w:val="36"/>
        </w:rPr>
      </w:pPr>
      <w:r>
        <w:rPr>
          <w:rFonts w:hint="default" w:ascii="Times New Roman" w:hAnsi="Times New Roman" w:eastAsia="方正小标宋简体" w:cs="Times New Roman"/>
          <w:kern w:val="2"/>
          <w:sz w:val="36"/>
          <w:szCs w:val="36"/>
        </w:rPr>
        <w:t xml:space="preserve"> </w:t>
      </w:r>
    </w:p>
    <w:p>
      <w:pPr>
        <w:autoSpaceDE w:val="0"/>
        <w:autoSpaceDN w:val="0"/>
        <w:adjustRightInd w:val="0"/>
        <w:spacing w:line="590" w:lineRule="exact"/>
        <w:jc w:val="center"/>
        <w:rPr>
          <w:rFonts w:hint="default" w:ascii="Times New Roman" w:hAnsi="Times New Roman" w:eastAsia="黑体" w:cs="Times New Roman"/>
          <w:kern w:val="2"/>
          <w:sz w:val="36"/>
          <w:szCs w:val="36"/>
        </w:rPr>
      </w:pPr>
      <w:r>
        <w:rPr>
          <w:rFonts w:hint="eastAsia" w:ascii="黑体" w:hAnsi="Times New Roman" w:eastAsia="黑体" w:cs="黑体"/>
          <w:kern w:val="2"/>
          <w:sz w:val="36"/>
          <w:szCs w:val="36"/>
        </w:rPr>
        <w:t>目录</w:t>
      </w:r>
    </w:p>
    <w:p>
      <w:pPr>
        <w:autoSpaceDE w:val="0"/>
        <w:autoSpaceDN w:val="0"/>
        <w:adjustRightInd w:val="0"/>
        <w:spacing w:line="590" w:lineRule="exact"/>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第一部分  昆明市石林彝族自治县人民检察院概况</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一、主要职能</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二、部门基本情况</w:t>
      </w:r>
    </w:p>
    <w:p>
      <w:pPr>
        <w:autoSpaceDE w:val="0"/>
        <w:autoSpaceDN w:val="0"/>
        <w:adjustRightInd w:val="0"/>
        <w:spacing w:line="590" w:lineRule="exact"/>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第二部分  2019年度部门决算表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一、收入支出决算总表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二、收入决算表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三、支出决算表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四、财政拨款收入支出决算总表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五、一般公共预算财政拨款收入支出决算表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六、一般公共预算财政拨款基本支出决算表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七、政府性基金预算财政拨款收入支出决算表</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八、</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三公</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经费、行政参公单位机关运行经费情况表</w:t>
      </w:r>
    </w:p>
    <w:p>
      <w:pPr>
        <w:autoSpaceDE w:val="0"/>
        <w:autoSpaceDN w:val="0"/>
        <w:adjustRightInd w:val="0"/>
        <w:spacing w:line="590" w:lineRule="exact"/>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第三部分  2019年度部门决算情况说明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一、收入决算情况说明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二、支出决算情况说明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三、一般公共预算财政拨款支出决算情况说明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四、一般公共预算财政拨款</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三公</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经费支出决算情况说明</w:t>
      </w:r>
    </w:p>
    <w:p>
      <w:pPr>
        <w:autoSpaceDE w:val="0"/>
        <w:autoSpaceDN w:val="0"/>
        <w:adjustRightInd w:val="0"/>
        <w:spacing w:line="590" w:lineRule="exact"/>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第四部分  其他重要事项及相关口径情况说明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一、机关运行经费支出情况</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二、国有资产占有情况</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三、政府采购支出情况</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lang w:eastAsia="zh-CN"/>
        </w:rPr>
        <w:t>四</w:t>
      </w:r>
      <w:r>
        <w:rPr>
          <w:rFonts w:hint="eastAsia" w:ascii="楷体" w:hAnsi="Times New Roman" w:eastAsia="楷体" w:cs="楷体"/>
          <w:kern w:val="2"/>
          <w:sz w:val="30"/>
          <w:szCs w:val="30"/>
        </w:rPr>
        <w:t>、其他重要事项情况说明</w:t>
      </w:r>
    </w:p>
    <w:p>
      <w:pPr>
        <w:autoSpaceDE w:val="0"/>
        <w:autoSpaceDN w:val="0"/>
        <w:adjustRightInd w:val="0"/>
        <w:spacing w:line="590" w:lineRule="exact"/>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lang w:eastAsia="zh-CN"/>
        </w:rPr>
        <w:t>五</w:t>
      </w:r>
      <w:r>
        <w:rPr>
          <w:rFonts w:hint="eastAsia" w:ascii="楷体" w:hAnsi="Times New Roman" w:eastAsia="楷体" w:cs="楷体"/>
          <w:kern w:val="2"/>
          <w:sz w:val="30"/>
          <w:szCs w:val="30"/>
        </w:rPr>
        <w:t>、相关口径说明</w:t>
      </w:r>
    </w:p>
    <w:p>
      <w:pPr>
        <w:autoSpaceDE w:val="0"/>
        <w:autoSpaceDN w:val="0"/>
        <w:adjustRightInd w:val="0"/>
        <w:spacing w:line="590" w:lineRule="exact"/>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第五部分  名词解释</w:t>
      </w:r>
    </w:p>
    <w:p>
      <w:pPr>
        <w:autoSpaceDE w:val="0"/>
        <w:autoSpaceDN w:val="0"/>
        <w:adjustRightInd w:val="0"/>
        <w:spacing w:line="600" w:lineRule="exact"/>
        <w:jc w:val="left"/>
        <w:rPr>
          <w:rFonts w:hint="default" w:ascii="Times New Roman" w:hAnsi="Times New Roman" w:eastAsia="黑体" w:cs="Times New Roman"/>
          <w:kern w:val="2"/>
          <w:sz w:val="30"/>
          <w:szCs w:val="30"/>
        </w:rPr>
      </w:pPr>
      <w:r>
        <w:rPr>
          <w:rFonts w:hint="default" w:ascii="Times New Roman" w:hAnsi="Times New Roman" w:eastAsia="黑体" w:cs="Times New Roman"/>
          <w:kern w:val="2"/>
          <w:sz w:val="30"/>
          <w:szCs w:val="30"/>
        </w:rPr>
        <w:t xml:space="preserve"> </w:t>
      </w:r>
    </w:p>
    <w:p>
      <w:pPr>
        <w:autoSpaceDE w:val="0"/>
        <w:autoSpaceDN w:val="0"/>
        <w:adjustRightInd w:val="0"/>
        <w:spacing w:line="600" w:lineRule="exact"/>
        <w:jc w:val="left"/>
        <w:rPr>
          <w:rFonts w:hint="default" w:ascii="Times New Roman" w:hAnsi="Times New Roman" w:eastAsia="黑体" w:cs="Times New Roman"/>
          <w:kern w:val="2"/>
          <w:sz w:val="30"/>
          <w:szCs w:val="30"/>
        </w:rPr>
      </w:pPr>
      <w:r>
        <w:rPr>
          <w:rFonts w:hint="default" w:ascii="Times New Roman" w:hAnsi="Times New Roman" w:eastAsia="黑体" w:cs="Times New Roman"/>
          <w:kern w:val="2"/>
          <w:sz w:val="30"/>
          <w:szCs w:val="30"/>
        </w:rPr>
        <w:t xml:space="preserve"> </w:t>
      </w:r>
    </w:p>
    <w:p>
      <w:pPr>
        <w:autoSpaceDE w:val="0"/>
        <w:autoSpaceDN w:val="0"/>
        <w:adjustRightInd w:val="0"/>
        <w:spacing w:line="600" w:lineRule="exact"/>
        <w:jc w:val="left"/>
        <w:rPr>
          <w:rFonts w:hint="default" w:ascii="Times New Roman" w:hAnsi="Times New Roman" w:eastAsia="黑体" w:cs="Times New Roman"/>
          <w:kern w:val="2"/>
          <w:sz w:val="30"/>
          <w:szCs w:val="30"/>
        </w:rPr>
      </w:pPr>
      <w:r>
        <w:rPr>
          <w:rFonts w:hint="default" w:ascii="Times New Roman" w:hAnsi="Times New Roman" w:eastAsia="黑体" w:cs="Times New Roman"/>
          <w:kern w:val="2"/>
          <w:sz w:val="30"/>
          <w:szCs w:val="30"/>
        </w:rPr>
        <w:t xml:space="preserve"> </w:t>
      </w: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p>
    <w:p>
      <w:pPr>
        <w:autoSpaceDE w:val="0"/>
        <w:autoSpaceDN w:val="0"/>
        <w:adjustRightInd w:val="0"/>
        <w:spacing w:line="600" w:lineRule="exact"/>
        <w:jc w:val="left"/>
        <w:rPr>
          <w:rFonts w:hint="default" w:ascii="Times New Roman" w:hAnsi="Times New Roman" w:eastAsia="黑体" w:cs="Times New Roman"/>
          <w:kern w:val="2"/>
          <w:sz w:val="30"/>
          <w:szCs w:val="30"/>
        </w:rPr>
      </w:pPr>
      <w:r>
        <w:rPr>
          <w:rFonts w:hint="default" w:ascii="Times New Roman" w:hAnsi="Times New Roman" w:eastAsia="黑体" w:cs="Times New Roman"/>
          <w:kern w:val="2"/>
          <w:sz w:val="30"/>
          <w:szCs w:val="30"/>
        </w:rPr>
        <w:t xml:space="preserve"> </w:t>
      </w:r>
    </w:p>
    <w:p>
      <w:pPr>
        <w:autoSpaceDE w:val="0"/>
        <w:autoSpaceDN w:val="0"/>
        <w:adjustRightInd w:val="0"/>
        <w:spacing w:line="590" w:lineRule="exact"/>
        <w:jc w:val="center"/>
        <w:rPr>
          <w:rFonts w:hint="default" w:ascii="Times New Roman" w:hAnsi="Times New Roman" w:eastAsia="黑体" w:cs="Times New Roman"/>
          <w:kern w:val="2"/>
          <w:sz w:val="32"/>
          <w:szCs w:val="32"/>
        </w:rPr>
      </w:pPr>
      <w:r>
        <w:rPr>
          <w:rFonts w:hint="eastAsia" w:ascii="黑体" w:hAnsi="Times New Roman" w:eastAsia="黑体" w:cs="黑体"/>
          <w:kern w:val="2"/>
          <w:sz w:val="32"/>
          <w:szCs w:val="32"/>
        </w:rPr>
        <w:t>第一部分  昆明市石林彝族自治县人民检察院概况</w:t>
      </w:r>
    </w:p>
    <w:p>
      <w:pPr>
        <w:autoSpaceDE w:val="0"/>
        <w:autoSpaceDN w:val="0"/>
        <w:adjustRightInd w:val="0"/>
        <w:spacing w:line="590" w:lineRule="exact"/>
        <w:ind w:left="0" w:firstLine="600" w:firstLineChars="200"/>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一、主要职能</w:t>
      </w:r>
    </w:p>
    <w:p>
      <w:pPr>
        <w:autoSpaceDE w:val="0"/>
        <w:autoSpaceDN w:val="0"/>
        <w:adjustRightInd w:val="0"/>
        <w:spacing w:line="590" w:lineRule="exact"/>
        <w:ind w:left="0" w:firstLine="600" w:firstLineChars="200"/>
        <w:rPr>
          <w:rFonts w:hint="eastAsia" w:ascii="楷体" w:hAnsi="楷体" w:eastAsia="楷体"/>
          <w:sz w:val="30"/>
          <w:szCs w:val="30"/>
        </w:rPr>
      </w:pPr>
      <w:r>
        <w:rPr>
          <w:rFonts w:hint="eastAsia" w:ascii="楷体" w:hAnsi="Times New Roman" w:eastAsia="楷体" w:cs="楷体"/>
          <w:kern w:val="2"/>
          <w:sz w:val="30"/>
          <w:szCs w:val="30"/>
        </w:rPr>
        <w:t>（一）主要职能</w:t>
      </w:r>
    </w:p>
    <w:p>
      <w:pPr>
        <w:pStyle w:val="8"/>
        <w:adjustRightInd w:val="0"/>
        <w:spacing w:before="0" w:beforeLines="0"/>
        <w:ind w:firstLine="600" w:firstLineChars="200"/>
        <w:rPr>
          <w:rFonts w:hint="eastAsia"/>
          <w:bCs/>
          <w:szCs w:val="30"/>
        </w:rPr>
      </w:pPr>
      <w:r>
        <w:rPr>
          <w:rFonts w:hint="eastAsia"/>
          <w:szCs w:val="30"/>
          <w:lang w:eastAsia="zh-CN"/>
        </w:rPr>
        <w:t>昆明市</w:t>
      </w:r>
      <w:r>
        <w:rPr>
          <w:rFonts w:hint="eastAsia"/>
          <w:szCs w:val="30"/>
        </w:rPr>
        <w:t>石林彝族自治县人民检察院是法律监督机关，其主要任务是依法履行法律监督职能。</w:t>
      </w:r>
      <w:r>
        <w:rPr>
          <w:rFonts w:hint="eastAsia"/>
          <w:szCs w:val="30"/>
          <w:lang w:eastAsia="zh-CN"/>
        </w:rPr>
        <w:t>主要</w:t>
      </w:r>
      <w:r>
        <w:rPr>
          <w:rFonts w:hint="eastAsia"/>
          <w:bCs/>
          <w:szCs w:val="30"/>
        </w:rPr>
        <w:t>职能</w:t>
      </w:r>
      <w:r>
        <w:rPr>
          <w:rFonts w:hint="eastAsia"/>
          <w:bCs/>
          <w:szCs w:val="30"/>
          <w:lang w:eastAsia="zh-CN"/>
        </w:rPr>
        <w:t>是</w:t>
      </w:r>
      <w:r>
        <w:rPr>
          <w:rFonts w:hint="eastAsia"/>
          <w:bCs/>
          <w:szCs w:val="30"/>
        </w:rPr>
        <w:t>：</w:t>
      </w:r>
    </w:p>
    <w:p>
      <w:pPr>
        <w:pStyle w:val="8"/>
        <w:adjustRightInd w:val="0"/>
        <w:spacing w:before="0" w:beforeLines="0"/>
        <w:ind w:firstLine="630" w:firstLineChars="210"/>
        <w:rPr>
          <w:rFonts w:hint="eastAsia"/>
          <w:bCs/>
          <w:szCs w:val="30"/>
        </w:rPr>
      </w:pPr>
      <w:r>
        <w:rPr>
          <w:rFonts w:hint="eastAsia"/>
          <w:bCs/>
          <w:szCs w:val="30"/>
          <w:lang w:val="en-US" w:eastAsia="zh-CN"/>
        </w:rPr>
        <w:t>1、</w:t>
      </w:r>
      <w:r>
        <w:rPr>
          <w:rFonts w:hint="eastAsia"/>
          <w:bCs/>
          <w:szCs w:val="30"/>
        </w:rPr>
        <w:t>对县人民代表大会及其常务委员会负责并报告工作，接受县人民代表大会及其常务委员会的监督，接受市人民检察院的领导。</w:t>
      </w:r>
    </w:p>
    <w:p>
      <w:pPr>
        <w:pStyle w:val="8"/>
        <w:adjustRightInd w:val="0"/>
        <w:spacing w:before="0" w:beforeLines="0"/>
        <w:ind w:firstLine="630" w:firstLineChars="210"/>
        <w:rPr>
          <w:rFonts w:hint="eastAsia"/>
          <w:bCs/>
          <w:szCs w:val="30"/>
        </w:rPr>
      </w:pPr>
      <w:r>
        <w:rPr>
          <w:rFonts w:hint="eastAsia"/>
          <w:bCs/>
          <w:szCs w:val="30"/>
          <w:lang w:val="en-US" w:eastAsia="zh-CN"/>
        </w:rPr>
        <w:t>2、</w:t>
      </w:r>
      <w:r>
        <w:rPr>
          <w:rFonts w:hint="eastAsia"/>
          <w:bCs/>
          <w:szCs w:val="30"/>
        </w:rPr>
        <w:t>执行上级人民检察院的检察工作方针，完成上级检察院部署的工作任务。</w:t>
      </w:r>
    </w:p>
    <w:p>
      <w:pPr>
        <w:pStyle w:val="8"/>
        <w:adjustRightInd w:val="0"/>
        <w:spacing w:before="0" w:beforeLines="0"/>
        <w:ind w:firstLine="630" w:firstLineChars="210"/>
        <w:rPr>
          <w:rFonts w:hint="eastAsia"/>
          <w:bCs/>
          <w:szCs w:val="30"/>
        </w:rPr>
      </w:pPr>
      <w:r>
        <w:rPr>
          <w:rFonts w:hint="eastAsia"/>
          <w:bCs/>
          <w:szCs w:val="30"/>
          <w:lang w:val="en-US" w:eastAsia="zh-CN"/>
        </w:rPr>
        <w:t>3、</w:t>
      </w:r>
      <w:r>
        <w:rPr>
          <w:rFonts w:hint="eastAsia"/>
          <w:bCs/>
          <w:szCs w:val="30"/>
        </w:rPr>
        <w:t>依法对有管辖权的重大刑事犯罪案件，行使检察权。</w:t>
      </w:r>
    </w:p>
    <w:p>
      <w:pPr>
        <w:pStyle w:val="8"/>
        <w:adjustRightInd w:val="0"/>
        <w:spacing w:before="0" w:beforeLines="0"/>
        <w:ind w:firstLine="630" w:firstLineChars="210"/>
        <w:rPr>
          <w:rFonts w:hint="eastAsia"/>
          <w:bCs/>
          <w:szCs w:val="30"/>
        </w:rPr>
      </w:pPr>
      <w:r>
        <w:rPr>
          <w:rFonts w:hint="eastAsia"/>
          <w:bCs/>
          <w:szCs w:val="30"/>
          <w:lang w:val="en-US" w:eastAsia="zh-CN"/>
        </w:rPr>
        <w:t>4、</w:t>
      </w:r>
      <w:r>
        <w:rPr>
          <w:rFonts w:hint="eastAsia"/>
          <w:bCs/>
          <w:szCs w:val="30"/>
        </w:rPr>
        <w:t>对重大刑事案件依法审查批准逮捕、决定逮捕、提起诉讼。</w:t>
      </w:r>
    </w:p>
    <w:p>
      <w:pPr>
        <w:pStyle w:val="8"/>
        <w:adjustRightInd w:val="0"/>
        <w:spacing w:before="0" w:beforeLines="0"/>
        <w:ind w:firstLine="630" w:firstLineChars="210"/>
        <w:rPr>
          <w:rFonts w:hint="eastAsia"/>
          <w:bCs/>
          <w:szCs w:val="30"/>
        </w:rPr>
      </w:pPr>
      <w:r>
        <w:rPr>
          <w:rFonts w:hint="eastAsia"/>
          <w:bCs/>
          <w:szCs w:val="30"/>
          <w:lang w:val="en-US" w:eastAsia="zh-CN"/>
        </w:rPr>
        <w:t>5、</w:t>
      </w:r>
      <w:r>
        <w:rPr>
          <w:rFonts w:hint="eastAsia"/>
          <w:bCs/>
          <w:szCs w:val="30"/>
        </w:rPr>
        <w:t>依法对刑事诉讼、民事审判和行政诉讼实行法律监督工作。</w:t>
      </w:r>
    </w:p>
    <w:p>
      <w:pPr>
        <w:pStyle w:val="8"/>
        <w:adjustRightInd w:val="0"/>
        <w:spacing w:before="0" w:beforeLines="0"/>
        <w:ind w:firstLine="630" w:firstLineChars="210"/>
        <w:rPr>
          <w:rFonts w:hint="eastAsia"/>
          <w:bCs/>
          <w:szCs w:val="30"/>
        </w:rPr>
      </w:pPr>
      <w:r>
        <w:rPr>
          <w:rFonts w:hint="eastAsia"/>
          <w:bCs/>
          <w:szCs w:val="30"/>
          <w:lang w:val="en-US" w:eastAsia="zh-CN"/>
        </w:rPr>
        <w:t>6、</w:t>
      </w:r>
      <w:r>
        <w:rPr>
          <w:rFonts w:hint="eastAsia"/>
          <w:bCs/>
          <w:szCs w:val="30"/>
        </w:rPr>
        <w:t>依法对看守所羁押、执行刑罚的活动是否合法实行监督。</w:t>
      </w:r>
    </w:p>
    <w:p>
      <w:pPr>
        <w:pStyle w:val="8"/>
        <w:adjustRightInd w:val="0"/>
        <w:spacing w:before="0" w:beforeLines="0"/>
        <w:ind w:firstLine="630" w:firstLineChars="210"/>
        <w:rPr>
          <w:rFonts w:hint="eastAsia"/>
          <w:bCs/>
          <w:szCs w:val="30"/>
        </w:rPr>
      </w:pPr>
      <w:r>
        <w:rPr>
          <w:rFonts w:hint="eastAsia"/>
          <w:bCs/>
          <w:szCs w:val="30"/>
          <w:lang w:val="en-US" w:eastAsia="zh-CN"/>
        </w:rPr>
        <w:t>7、</w:t>
      </w:r>
      <w:r>
        <w:rPr>
          <w:rFonts w:hint="eastAsia"/>
          <w:bCs/>
          <w:szCs w:val="30"/>
        </w:rPr>
        <w:t>对县人民法院已经发生法律效力，确有错误的判决和裁定，依法向市院提请抗诉。</w:t>
      </w:r>
    </w:p>
    <w:p>
      <w:pPr>
        <w:pStyle w:val="8"/>
        <w:adjustRightInd w:val="0"/>
        <w:spacing w:before="0" w:beforeLines="0"/>
        <w:ind w:firstLine="630" w:firstLineChars="210"/>
        <w:rPr>
          <w:rFonts w:hint="eastAsia"/>
          <w:bCs/>
          <w:szCs w:val="30"/>
        </w:rPr>
      </w:pPr>
      <w:r>
        <w:rPr>
          <w:rFonts w:hint="eastAsia"/>
          <w:bCs/>
          <w:szCs w:val="30"/>
          <w:lang w:val="en-US" w:eastAsia="zh-CN"/>
        </w:rPr>
        <w:t>8、</w:t>
      </w:r>
      <w:r>
        <w:rPr>
          <w:rFonts w:hint="eastAsia"/>
          <w:bCs/>
          <w:szCs w:val="30"/>
        </w:rPr>
        <w:t>受理单位和个人的控告、申诉、举报以及犯罪嫌疑人的自首。</w:t>
      </w:r>
    </w:p>
    <w:p>
      <w:pPr>
        <w:pStyle w:val="8"/>
        <w:adjustRightInd w:val="0"/>
        <w:spacing w:before="0" w:beforeLines="0"/>
        <w:ind w:firstLine="630" w:firstLineChars="210"/>
        <w:rPr>
          <w:rFonts w:hint="eastAsia"/>
          <w:bCs/>
          <w:szCs w:val="30"/>
        </w:rPr>
      </w:pPr>
      <w:r>
        <w:rPr>
          <w:rFonts w:hint="eastAsia"/>
          <w:bCs/>
          <w:szCs w:val="30"/>
          <w:lang w:val="en-US" w:eastAsia="zh-CN"/>
        </w:rPr>
        <w:t>9、</w:t>
      </w:r>
      <w:r>
        <w:rPr>
          <w:rFonts w:hint="eastAsia"/>
          <w:bCs/>
          <w:szCs w:val="30"/>
        </w:rPr>
        <w:t>负责检察机关队伍建设和思想政治工作，依法管理检察官及其他检察人员；制定相关人员管理办法。</w:t>
      </w:r>
    </w:p>
    <w:p>
      <w:pPr>
        <w:pStyle w:val="8"/>
        <w:adjustRightInd w:val="0"/>
        <w:spacing w:before="0" w:beforeLines="0"/>
        <w:ind w:firstLine="630" w:firstLineChars="210"/>
        <w:rPr>
          <w:rFonts w:hint="eastAsia"/>
          <w:bCs/>
          <w:szCs w:val="30"/>
        </w:rPr>
      </w:pPr>
      <w:r>
        <w:rPr>
          <w:rFonts w:hint="eastAsia"/>
          <w:bCs/>
          <w:szCs w:val="30"/>
          <w:lang w:val="en-US" w:eastAsia="zh-CN"/>
        </w:rPr>
        <w:t>10、</w:t>
      </w:r>
      <w:r>
        <w:rPr>
          <w:rFonts w:hint="eastAsia"/>
          <w:bCs/>
          <w:szCs w:val="30"/>
        </w:rPr>
        <w:t>协同主管部门，按照干管权限和规定，提出任免干部的意见和建议；依法提请县人大常委会决定任免检察委员会委员、检察员；依法提请其他任免事项。</w:t>
      </w:r>
    </w:p>
    <w:p>
      <w:pPr>
        <w:pStyle w:val="8"/>
        <w:adjustRightInd w:val="0"/>
        <w:spacing w:before="0" w:beforeLines="0"/>
        <w:ind w:firstLine="630" w:firstLineChars="210"/>
        <w:rPr>
          <w:rFonts w:hint="eastAsia"/>
          <w:bCs/>
          <w:szCs w:val="30"/>
        </w:rPr>
      </w:pPr>
      <w:r>
        <w:rPr>
          <w:rFonts w:hint="eastAsia"/>
          <w:bCs/>
          <w:szCs w:val="30"/>
          <w:lang w:val="en-US" w:eastAsia="zh-CN"/>
        </w:rPr>
        <w:t>11、</w:t>
      </w:r>
      <w:r>
        <w:rPr>
          <w:rFonts w:hint="eastAsia"/>
          <w:bCs/>
          <w:szCs w:val="30"/>
        </w:rPr>
        <w:t>负责全院精神文明、理论宣传、文体活动，干部教育培训工作。</w:t>
      </w:r>
    </w:p>
    <w:p>
      <w:pPr>
        <w:pStyle w:val="8"/>
        <w:adjustRightInd w:val="0"/>
        <w:spacing w:before="0" w:beforeLines="0"/>
        <w:ind w:firstLine="630" w:firstLineChars="210"/>
        <w:rPr>
          <w:rFonts w:hint="eastAsia"/>
          <w:bCs/>
          <w:szCs w:val="30"/>
        </w:rPr>
      </w:pPr>
      <w:r>
        <w:rPr>
          <w:rFonts w:hint="eastAsia"/>
          <w:bCs/>
          <w:szCs w:val="30"/>
          <w:lang w:val="en-US" w:eastAsia="zh-CN"/>
        </w:rPr>
        <w:t>12、</w:t>
      </w:r>
      <w:r>
        <w:rPr>
          <w:rFonts w:hint="eastAsia"/>
          <w:bCs/>
          <w:szCs w:val="30"/>
        </w:rPr>
        <w:t>负责检察系统纪检工作，按照干部管理权限查办检察人员违纪案件。</w:t>
      </w:r>
    </w:p>
    <w:p>
      <w:pPr>
        <w:pStyle w:val="8"/>
        <w:adjustRightInd w:val="0"/>
        <w:spacing w:before="0" w:beforeLines="0"/>
        <w:ind w:firstLine="630" w:firstLineChars="210"/>
        <w:rPr>
          <w:rFonts w:hint="eastAsia"/>
          <w:bCs/>
          <w:szCs w:val="30"/>
        </w:rPr>
      </w:pPr>
      <w:r>
        <w:rPr>
          <w:rFonts w:hint="eastAsia"/>
          <w:bCs/>
          <w:szCs w:val="30"/>
          <w:lang w:val="en-US" w:eastAsia="zh-CN"/>
        </w:rPr>
        <w:t>13、</w:t>
      </w:r>
      <w:r>
        <w:rPr>
          <w:rFonts w:hint="eastAsia"/>
          <w:bCs/>
          <w:szCs w:val="30"/>
        </w:rPr>
        <w:t>负责规划全院的财务装备和检察技术信息工作。</w:t>
      </w:r>
    </w:p>
    <w:p>
      <w:pPr>
        <w:pStyle w:val="8"/>
        <w:adjustRightInd w:val="0"/>
        <w:spacing w:before="0" w:beforeLines="0"/>
        <w:ind w:firstLine="630" w:firstLineChars="210"/>
        <w:rPr>
          <w:rFonts w:hint="eastAsia"/>
          <w:bCs/>
          <w:szCs w:val="30"/>
        </w:rPr>
      </w:pPr>
      <w:r>
        <w:rPr>
          <w:rFonts w:hint="eastAsia"/>
          <w:bCs/>
          <w:szCs w:val="30"/>
          <w:lang w:val="en-US" w:eastAsia="zh-CN"/>
        </w:rPr>
        <w:t>14、</w:t>
      </w:r>
      <w:r>
        <w:rPr>
          <w:rFonts w:hint="eastAsia"/>
          <w:bCs/>
          <w:szCs w:val="30"/>
        </w:rPr>
        <w:t>负责司法警察警务工作。</w:t>
      </w:r>
    </w:p>
    <w:p>
      <w:pPr>
        <w:pStyle w:val="8"/>
        <w:adjustRightInd w:val="0"/>
        <w:spacing w:before="0" w:beforeLines="0"/>
        <w:ind w:firstLine="630" w:firstLineChars="210"/>
        <w:rPr>
          <w:rFonts w:hint="eastAsia"/>
          <w:bCs/>
          <w:szCs w:val="30"/>
        </w:rPr>
      </w:pPr>
      <w:r>
        <w:rPr>
          <w:rFonts w:hint="eastAsia"/>
          <w:bCs/>
          <w:szCs w:val="30"/>
          <w:lang w:val="en-US" w:eastAsia="zh-CN"/>
        </w:rPr>
        <w:t>15、</w:t>
      </w:r>
      <w:r>
        <w:rPr>
          <w:rFonts w:hint="eastAsia"/>
          <w:bCs/>
          <w:szCs w:val="30"/>
        </w:rPr>
        <w:t>承办县委、县政府交办的工作。</w:t>
      </w:r>
    </w:p>
    <w:p>
      <w:pPr>
        <w:autoSpaceDE w:val="0"/>
        <w:autoSpaceDN w:val="0"/>
        <w:adjustRightInd w:val="0"/>
        <w:spacing w:line="590" w:lineRule="exact"/>
        <w:ind w:left="0" w:firstLine="600" w:firstLineChars="200"/>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（二）2019年度重点工作任务介绍</w:t>
      </w:r>
    </w:p>
    <w:p>
      <w:pPr>
        <w:ind w:firstLine="64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2019年是新中国成立70周年，是检察改革深入推进的关键之年。我院在中共石林县委和昆明市人民检察院的领导</w:t>
      </w:r>
      <w:r>
        <w:rPr>
          <w:rFonts w:hint="eastAsia" w:ascii="仿宋_GB2312" w:hAnsi="仿宋_GB2312" w:eastAsia="仿宋_GB2312" w:cs="仿宋_GB2312"/>
          <w:sz w:val="30"/>
          <w:szCs w:val="30"/>
          <w:lang w:eastAsia="zh-CN"/>
        </w:rPr>
        <w:t>下</w:t>
      </w:r>
      <w:r>
        <w:rPr>
          <w:rFonts w:hint="eastAsia" w:ascii="仿宋_GB2312" w:hAnsi="仿宋_GB2312" w:eastAsia="仿宋_GB2312" w:cs="仿宋_GB2312"/>
          <w:sz w:val="30"/>
          <w:szCs w:val="30"/>
        </w:rPr>
        <w:t>，在县人大及其常委会的监督下，在县政府的关心支持和县政协的民主监督下，高举习近平新时代中国特色社会主义思想伟大旗帜，深入学习党的十九大、十九届二中、三中、四中全会精神。开展“不忘初心、牢记使命”主题教育，按照“讲政治、顾大局、谋发展、重自强”总要求，认真做好刑事检察、民事检察、行政检察、公益诉讼检察工作，突出重点，确保社会大局稳定，全面推进石林检察工作。</w:t>
      </w:r>
    </w:p>
    <w:p>
      <w:pPr>
        <w:numPr>
          <w:ilvl w:val="0"/>
          <w:numId w:val="1"/>
        </w:numPr>
        <w:ind w:firstLine="480" w:firstLineChars="15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出实招，履行审查逮捕职责，让公平看得见</w:t>
      </w:r>
    </w:p>
    <w:p>
      <w:pPr>
        <w:ind w:firstLine="645"/>
        <w:rPr>
          <w:rFonts w:hint="eastAsia" w:ascii="仿宋_GB2312" w:hAnsi="仿宋_GB2312" w:eastAsia="仿宋_GB2312" w:cs="仿宋_GB2312"/>
          <w:sz w:val="30"/>
          <w:szCs w:val="30"/>
          <w:lang w:eastAsia="zh-CN"/>
        </w:rPr>
      </w:pPr>
      <w:r>
        <w:rPr>
          <w:rFonts w:hint="eastAsia" w:ascii="仿宋_GB2312" w:eastAsia="仿宋_GB2312"/>
          <w:sz w:val="30"/>
          <w:szCs w:val="30"/>
        </w:rPr>
        <w:t>强化履职质效，</w:t>
      </w:r>
      <w:r>
        <w:rPr>
          <w:rFonts w:hint="eastAsia" w:ascii="仿宋_GB2312" w:hAnsi="Arial" w:eastAsia="仿宋_GB2312" w:cs="Arial"/>
          <w:sz w:val="30"/>
          <w:szCs w:val="30"/>
        </w:rPr>
        <w:t>依法充分履行审查批准逮捕职责，严厉打击刑事犯罪。</w:t>
      </w:r>
      <w:r>
        <w:rPr>
          <w:rFonts w:hint="eastAsia" w:ascii="仿宋_GB2312" w:hAnsi="宋体" w:eastAsia="仿宋_GB2312" w:cs="宋体"/>
          <w:color w:val="000000"/>
          <w:kern w:val="0"/>
          <w:sz w:val="30"/>
          <w:szCs w:val="30"/>
        </w:rPr>
        <w:t>在审查逮捕工作中，充分发挥侦查活动监督职责，</w:t>
      </w:r>
      <w:r>
        <w:rPr>
          <w:rFonts w:hint="eastAsia" w:ascii="仿宋_GB2312" w:eastAsia="仿宋_GB2312"/>
          <w:sz w:val="30"/>
          <w:szCs w:val="30"/>
        </w:rPr>
        <w:t>严格把握案件的事实关、证据关、程序关和法律适用关，确保案件质量和办案效果。</w:t>
      </w:r>
    </w:p>
    <w:p>
      <w:pPr>
        <w:numPr>
          <w:ilvl w:val="0"/>
          <w:numId w:val="1"/>
        </w:numPr>
        <w:ind w:left="0" w:leftChars="0" w:firstLine="48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办实事，发挥审查起诉职能，让正义摸得着</w:t>
      </w:r>
    </w:p>
    <w:p>
      <w:pPr>
        <w:ind w:firstLine="640" w:firstLineChars="200"/>
        <w:rPr>
          <w:rFonts w:ascii="仿宋_GB2312" w:eastAsia="仿宋_GB2312"/>
          <w:sz w:val="30"/>
          <w:szCs w:val="30"/>
        </w:rPr>
      </w:pPr>
      <w:r>
        <w:rPr>
          <w:rFonts w:hint="eastAsia" w:ascii="仿宋_GB2312" w:eastAsia="仿宋_GB2312"/>
          <w:sz w:val="30"/>
          <w:szCs w:val="30"/>
        </w:rPr>
        <w:t>深化机制创新，充分发挥审查起诉职能，有效维护社会稳定。</w:t>
      </w:r>
    </w:p>
    <w:p>
      <w:pPr>
        <w:rPr>
          <w:rFonts w:ascii="仿宋_GB2312" w:eastAsia="仿宋_GB2312"/>
          <w:sz w:val="30"/>
          <w:szCs w:val="30"/>
        </w:rPr>
      </w:pPr>
      <w:r>
        <w:rPr>
          <w:rFonts w:hint="eastAsia" w:ascii="仿宋_GB2312" w:eastAsia="仿宋_GB2312"/>
          <w:sz w:val="30"/>
          <w:szCs w:val="30"/>
        </w:rPr>
        <w:t>集中精锐力量，重拳打击黑恶犯罪。在开展扫黑除恶专项斗争工作过程中，坚持对涉黑涉恶案件1</w:t>
      </w:r>
      <w:r>
        <w:rPr>
          <w:rFonts w:ascii="仿宋_GB2312" w:eastAsia="仿宋_GB2312"/>
          <w:sz w:val="30"/>
          <w:szCs w:val="30"/>
        </w:rPr>
        <w:t>00%</w:t>
      </w:r>
      <w:r>
        <w:rPr>
          <w:rFonts w:hint="eastAsia" w:ascii="仿宋_GB2312" w:eastAsia="仿宋_GB2312"/>
          <w:sz w:val="30"/>
          <w:szCs w:val="30"/>
        </w:rPr>
        <w:t>提前介入引导侦查。深挖黑恶势力背后的保护伞，加大打财断血专项监督力度。积极参与社会综合治理，充分发挥检察建议监督预防作用，要求相关部门从改进管理方式、规范职能等方面出发，制定整改措施，切实加强整改，彻底铲除黑恶势力滋生土壤。</w:t>
      </w:r>
      <w:r>
        <w:rPr>
          <w:rFonts w:ascii="仿宋_GB2312" w:eastAsia="仿宋_GB2312"/>
          <w:sz w:val="30"/>
          <w:szCs w:val="30"/>
        </w:rPr>
        <w:t xml:space="preserve"> </w:t>
      </w:r>
    </w:p>
    <w:p>
      <w:pPr>
        <w:ind w:firstLine="645"/>
        <w:rPr>
          <w:rFonts w:ascii="仿宋_GB2312" w:eastAsia="仿宋_GB2312"/>
          <w:sz w:val="30"/>
          <w:szCs w:val="30"/>
        </w:rPr>
      </w:pPr>
      <w:r>
        <w:rPr>
          <w:rFonts w:hint="eastAsia" w:ascii="仿宋_GB2312" w:eastAsia="仿宋_GB2312"/>
          <w:sz w:val="30"/>
          <w:szCs w:val="30"/>
        </w:rPr>
        <w:t>深挖细查，严惩职务犯罪。在办理职务犯罪案件时，不断增强职务犯罪案件审查主动性，坚决以“零容忍”的态度惩治腐败问题。</w:t>
      </w:r>
    </w:p>
    <w:p>
      <w:pPr>
        <w:ind w:firstLine="645"/>
        <w:rPr>
          <w:rFonts w:ascii="仿宋_GB2312" w:eastAsia="仿宋_GB2312"/>
          <w:sz w:val="30"/>
          <w:szCs w:val="30"/>
        </w:rPr>
      </w:pPr>
      <w:r>
        <w:rPr>
          <w:rFonts w:hint="eastAsia" w:ascii="仿宋_GB2312" w:hAnsi="黑体" w:eastAsia="仿宋_GB2312"/>
          <w:sz w:val="30"/>
          <w:szCs w:val="30"/>
        </w:rPr>
        <w:t>宽严相济，认真抓好认罪认罚从宽制度落实工作。</w:t>
      </w:r>
      <w:r>
        <w:rPr>
          <w:rFonts w:hint="eastAsia" w:ascii="仿宋_GB2312" w:eastAsia="仿宋_GB2312"/>
          <w:sz w:val="30"/>
          <w:szCs w:val="30"/>
        </w:rPr>
        <w:t>2019年5月，我院开始探索适用认罪认罚从宽制度，并成立了认罪认罚从宽制度领导小组，不断加强与公安、法院、司法局等部门之间的沟通协调。研究制定了《认罪认罚从宽制度实施意见》，案件类型从最初的危险驾驶类扩大到全部刑事案件。认罪认罚从宽制度</w:t>
      </w:r>
      <w:r>
        <w:rPr>
          <w:rFonts w:hint="eastAsia" w:ascii="仿宋_GB2312" w:hAnsi="黑体" w:eastAsia="仿宋_GB2312"/>
          <w:sz w:val="30"/>
          <w:szCs w:val="30"/>
        </w:rPr>
        <w:t>体现了检察机关在刑事诉讼中发挥的关键作用，促进准确及时惩罚犯罪、推动刑事案件繁简分流、节约司法资源、化解社会矛盾。</w:t>
      </w:r>
    </w:p>
    <w:p>
      <w:pPr>
        <w:ind w:firstLine="640" w:firstLineChars="200"/>
        <w:rPr>
          <w:rFonts w:hint="eastAsia" w:ascii="仿宋_GB2312" w:eastAsia="仿宋_GB2312"/>
          <w:sz w:val="30"/>
          <w:szCs w:val="30"/>
        </w:rPr>
      </w:pPr>
      <w:r>
        <w:rPr>
          <w:rFonts w:hint="eastAsia" w:ascii="仿宋_GB2312" w:eastAsia="仿宋_GB2312"/>
          <w:sz w:val="30"/>
          <w:szCs w:val="30"/>
        </w:rPr>
        <w:t>上下同心抓落实，切实维护未成年人合法权益。自高检院向教育部发出“一号检察建议”后，我院多措并举、狠抓工作落实。</w:t>
      </w:r>
      <w:r>
        <w:rPr>
          <w:rFonts w:hint="eastAsia" w:ascii="仿宋_GB2312" w:eastAsia="仿宋_GB2312"/>
          <w:b/>
          <w:sz w:val="30"/>
          <w:szCs w:val="30"/>
        </w:rPr>
        <w:t>一是</w:t>
      </w:r>
      <w:r>
        <w:rPr>
          <w:rFonts w:hint="eastAsia" w:ascii="仿宋_GB2312" w:eastAsia="仿宋_GB2312"/>
          <w:sz w:val="30"/>
          <w:szCs w:val="30"/>
        </w:rPr>
        <w:t>及时排查近年来办理的刑事案件，对案件涉及的学校有针对性地发出检察建议；</w:t>
      </w:r>
      <w:r>
        <w:rPr>
          <w:rFonts w:hint="eastAsia" w:ascii="仿宋_GB2312" w:eastAsia="仿宋_GB2312"/>
          <w:b/>
          <w:sz w:val="30"/>
          <w:szCs w:val="30"/>
        </w:rPr>
        <w:t>二是</w:t>
      </w:r>
      <w:r>
        <w:rPr>
          <w:rFonts w:hint="eastAsia" w:ascii="仿宋_GB2312" w:eastAsia="仿宋_GB2312"/>
          <w:sz w:val="30"/>
          <w:szCs w:val="30"/>
        </w:rPr>
        <w:t>将“一号检察建议”和我院近几年开展未成年人检察工作的情况向县委、县委政法委进行书面汇报，取得广泛支持；</w:t>
      </w:r>
      <w:r>
        <w:rPr>
          <w:rFonts w:hint="eastAsia" w:ascii="仿宋_GB2312" w:eastAsia="仿宋_GB2312"/>
          <w:b/>
          <w:sz w:val="30"/>
          <w:szCs w:val="30"/>
        </w:rPr>
        <w:t>三是</w:t>
      </w:r>
      <w:r>
        <w:rPr>
          <w:rFonts w:hint="eastAsia" w:ascii="仿宋_GB2312" w:eastAsia="仿宋_GB2312"/>
          <w:sz w:val="30"/>
          <w:szCs w:val="30"/>
        </w:rPr>
        <w:t>选优配强法治副校长，充分发挥法治副校长的带动作用。包括检察长在内，本院六名检察人员担任六所中、小学校的法治副校长，分别到各所学校开展了8场法治讲座，并开展了模拟法庭、社会帮教、附条件不起诉等教育矫治工作。我院在办理未成年人案件过程中，认真贯彻教育感化挽救方针，推动学校预防未成年人犯罪工作不断取得实效。</w:t>
      </w:r>
    </w:p>
    <w:p>
      <w:pPr>
        <w:numPr>
          <w:ilvl w:val="0"/>
          <w:numId w:val="1"/>
        </w:numPr>
        <w:ind w:left="0" w:leftChars="0" w:firstLine="64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求实效，细化监督监管措施，让法治入人心</w:t>
      </w:r>
    </w:p>
    <w:p>
      <w:pPr>
        <w:ind w:firstLine="640" w:firstLineChars="200"/>
        <w:rPr>
          <w:rFonts w:ascii="仿宋_GB2312" w:eastAsia="仿宋_GB2312"/>
          <w:sz w:val="30"/>
          <w:szCs w:val="30"/>
        </w:rPr>
      </w:pPr>
      <w:r>
        <w:rPr>
          <w:rFonts w:hint="eastAsia" w:ascii="仿宋_GB2312" w:hAnsi="Arial" w:eastAsia="仿宋_GB2312" w:cs="Arial"/>
          <w:sz w:val="30"/>
          <w:szCs w:val="30"/>
        </w:rPr>
        <w:t>突出重点，切实履行民事诉讼监督职责。</w:t>
      </w:r>
      <w:r>
        <w:rPr>
          <w:rFonts w:hint="eastAsia" w:ascii="仿宋_GB2312" w:hAnsi="宋体" w:eastAsia="仿宋_GB2312"/>
          <w:sz w:val="30"/>
          <w:szCs w:val="30"/>
        </w:rPr>
        <w:t>对确有错误的民事申诉案件，建议县人民法院依法启动再审程序进行重新审理</w:t>
      </w:r>
      <w:r>
        <w:rPr>
          <w:rFonts w:hint="eastAsia" w:ascii="仿宋_GB2312" w:hAnsi="宋体" w:eastAsia="仿宋_GB2312"/>
          <w:color w:val="000000" w:themeColor="text1"/>
          <w:sz w:val="30"/>
          <w:szCs w:val="30"/>
          <w14:textFill>
            <w14:solidFill>
              <w14:schemeClr w14:val="tx1"/>
            </w14:solidFill>
          </w14:textFill>
        </w:rPr>
        <w:t>。</w:t>
      </w:r>
      <w:r>
        <w:rPr>
          <w:rFonts w:hint="eastAsia" w:ascii="仿宋_GB2312" w:eastAsia="仿宋_GB2312"/>
          <w:sz w:val="30"/>
          <w:szCs w:val="30"/>
        </w:rPr>
        <w:t>积极运用检察建议加强对民事审判、执行监督，促进法院审判活动及执行行为严格依照法定程序开展，保障当事人在诉讼及执行过程中的合法权益。</w:t>
      </w:r>
    </w:p>
    <w:p>
      <w:pPr>
        <w:ind w:firstLine="645"/>
        <w:rPr>
          <w:rFonts w:hint="eastAsia" w:ascii="仿宋_GB2312" w:eastAsia="仿宋_GB2312"/>
          <w:sz w:val="30"/>
          <w:szCs w:val="30"/>
        </w:rPr>
      </w:pPr>
      <w:r>
        <w:rPr>
          <w:rFonts w:hint="eastAsia" w:ascii="仿宋_GB2312" w:eastAsia="仿宋_GB2312"/>
          <w:sz w:val="30"/>
          <w:szCs w:val="30"/>
        </w:rPr>
        <w:t>积极拓展行政检察监督职能，促进依法行政。</w:t>
      </w:r>
      <w:r>
        <w:rPr>
          <w:rFonts w:hint="eastAsia" w:ascii="仿宋_GB2312" w:hAnsi="宋体" w:eastAsia="仿宋_GB2312"/>
          <w:sz w:val="30"/>
          <w:szCs w:val="30"/>
        </w:rPr>
        <w:t>及时向行政机关制发督促履</w:t>
      </w:r>
      <w:r>
        <w:rPr>
          <w:rFonts w:hint="eastAsia" w:ascii="仿宋_GB2312" w:eastAsia="仿宋_GB2312"/>
          <w:sz w:val="30"/>
          <w:szCs w:val="30"/>
        </w:rPr>
        <w:t>职的检察建议和开展专项监督活动，促使行政机关改进相关工作，提高服务效能和严格依法行政。</w:t>
      </w:r>
    </w:p>
    <w:p>
      <w:pPr>
        <w:ind w:firstLine="645"/>
        <w:rPr>
          <w:rFonts w:hint="eastAsia" w:ascii="仿宋_GB2312" w:hAnsi="仿宋_GB2312" w:eastAsia="仿宋_GB2312" w:cs="仿宋_GB2312"/>
          <w:sz w:val="30"/>
          <w:szCs w:val="30"/>
          <w:lang w:eastAsia="zh-CN"/>
        </w:rPr>
      </w:pPr>
      <w:r>
        <w:rPr>
          <w:rFonts w:hint="eastAsia" w:ascii="仿宋_GB2312" w:eastAsia="仿宋_GB2312"/>
          <w:sz w:val="30"/>
          <w:szCs w:val="30"/>
        </w:rPr>
        <w:t>发挥公益诉讼检察职责，全力保护社会公共利益。我院开展校园食品安全公益保护专项监督活动，争做孩子舌尖上的“守护人”。开展协助解决拖欠农民工工资问题专项监督活动，有效保障农民工的切身利益。为美丽石林、生态石林建设贡献检察力量，展现检察担当。</w:t>
      </w:r>
    </w:p>
    <w:p>
      <w:pPr>
        <w:numPr>
          <w:ilvl w:val="0"/>
          <w:numId w:val="1"/>
        </w:numPr>
        <w:ind w:left="0" w:leftChars="0" w:firstLine="48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察实情，坚守执法为民宗旨，让群众得实惠</w:t>
      </w:r>
    </w:p>
    <w:p>
      <w:pPr>
        <w:ind w:firstLine="645"/>
        <w:rPr>
          <w:rFonts w:ascii="仿宋_GB2312" w:hAnsi="Arial" w:eastAsia="仿宋_GB2312" w:cs="Arial"/>
          <w:sz w:val="30"/>
          <w:szCs w:val="30"/>
        </w:rPr>
      </w:pPr>
      <w:r>
        <w:rPr>
          <w:rFonts w:hint="eastAsia" w:ascii="仿宋_GB2312" w:hAnsi="Arial" w:eastAsia="仿宋_GB2312" w:cs="Arial"/>
          <w:sz w:val="30"/>
          <w:szCs w:val="30"/>
        </w:rPr>
        <w:t>稳中求进，不断加强规范化建设，增强刑事执行监督实效。认真履行驻所检察职责，检察入所、出所法律文书。</w:t>
      </w:r>
      <w:r>
        <w:rPr>
          <w:rFonts w:hint="eastAsia" w:ascii="仿宋_GB2312" w:hAnsi="仿宋" w:eastAsia="仿宋_GB2312"/>
          <w:sz w:val="30"/>
          <w:szCs w:val="30"/>
        </w:rPr>
        <w:t>加强对看守所监管设施运行情况、监管制度落实情况及重点部位、重点物品、重点时段的检查力度，及时掌握监管情况。针对社区矫正入矫解矫、监督管理、教育矫治等环节中发现的违法违规问题，</w:t>
      </w:r>
      <w:r>
        <w:rPr>
          <w:rFonts w:hint="eastAsia" w:ascii="仿宋_GB2312" w:hAnsi="仿宋" w:eastAsia="仿宋_GB2312" w:cs="宋体"/>
          <w:sz w:val="30"/>
          <w:szCs w:val="30"/>
        </w:rPr>
        <w:t>依法</w:t>
      </w:r>
      <w:r>
        <w:rPr>
          <w:rFonts w:hint="eastAsia" w:ascii="仿宋_GB2312" w:hAnsi="仿宋" w:eastAsia="仿宋_GB2312"/>
          <w:sz w:val="30"/>
          <w:szCs w:val="30"/>
        </w:rPr>
        <w:t>及时向相关部门</w:t>
      </w:r>
      <w:r>
        <w:rPr>
          <w:rFonts w:hint="eastAsia" w:ascii="仿宋_GB2312" w:hAnsi="仿宋" w:eastAsia="仿宋_GB2312" w:cs="宋体"/>
          <w:sz w:val="30"/>
          <w:szCs w:val="30"/>
        </w:rPr>
        <w:t>发出纠正违法通知书督促及时纠正，促进社区矫正工作规范有序</w:t>
      </w:r>
      <w:r>
        <w:rPr>
          <w:rFonts w:hint="eastAsia" w:ascii="仿宋_GB2312" w:hAnsi="仿宋" w:eastAsia="仿宋_GB2312"/>
          <w:sz w:val="30"/>
          <w:szCs w:val="30"/>
        </w:rPr>
        <w:t>。</w:t>
      </w:r>
    </w:p>
    <w:p>
      <w:pPr>
        <w:ind w:firstLine="645"/>
        <w:rPr>
          <w:rFonts w:ascii="仿宋_GB2312" w:hAnsi="Arial" w:eastAsia="仿宋_GB2312" w:cs="Arial"/>
          <w:sz w:val="30"/>
          <w:szCs w:val="30"/>
        </w:rPr>
      </w:pPr>
      <w:r>
        <w:rPr>
          <w:rFonts w:hint="eastAsia" w:ascii="仿宋_GB2312" w:hAnsi="Arial" w:eastAsia="仿宋_GB2312" w:cs="Arial"/>
          <w:sz w:val="30"/>
          <w:szCs w:val="30"/>
        </w:rPr>
        <w:t>畅通渠道，充分发挥控告申诉检察职能，有效化解社会矛盾。</w:t>
      </w:r>
      <w:r>
        <w:rPr>
          <w:rFonts w:hint="eastAsia" w:ascii="仿宋_GB2312" w:hAnsi="宋体" w:eastAsia="仿宋_GB2312" w:cs="宋体"/>
          <w:kern w:val="0"/>
          <w:sz w:val="30"/>
          <w:szCs w:val="30"/>
        </w:rPr>
        <w:t>认真</w:t>
      </w:r>
      <w:r>
        <w:rPr>
          <w:rFonts w:hint="eastAsia" w:ascii="仿宋_GB2312" w:hAnsi="ˎ̥" w:eastAsia="仿宋_GB2312" w:cs="宋体"/>
          <w:kern w:val="0"/>
          <w:sz w:val="30"/>
          <w:szCs w:val="30"/>
        </w:rPr>
        <w:t>做到</w:t>
      </w:r>
      <w:r>
        <w:rPr>
          <w:rFonts w:hint="eastAsia" w:ascii="仿宋_GB2312" w:eastAsia="仿宋_GB2312"/>
          <w:spacing w:val="-2"/>
          <w:sz w:val="30"/>
          <w:szCs w:val="30"/>
        </w:rPr>
        <w:t>对来访群众热情接待、耐心解答，</w:t>
      </w:r>
      <w:r>
        <w:rPr>
          <w:rFonts w:hint="eastAsia" w:ascii="仿宋_GB2312" w:eastAsia="仿宋_GB2312"/>
          <w:sz w:val="30"/>
          <w:szCs w:val="30"/>
        </w:rPr>
        <w:t>树立好“窗口”形象。</w:t>
      </w:r>
      <w:r>
        <w:rPr>
          <w:rFonts w:hint="eastAsia" w:ascii="仿宋_GB2312" w:eastAsia="仿宋_GB2312"/>
          <w:spacing w:val="-2"/>
          <w:sz w:val="30"/>
          <w:szCs w:val="30"/>
        </w:rPr>
        <w:t>为信访群众提供法律帮助，积极做好相关的息诉、息访工作，</w:t>
      </w:r>
      <w:r>
        <w:rPr>
          <w:rFonts w:hint="eastAsia" w:ascii="仿宋_GB2312" w:eastAsia="仿宋_GB2312"/>
          <w:sz w:val="30"/>
          <w:szCs w:val="30"/>
        </w:rPr>
        <w:t>力求把矛盾化解在基层</w:t>
      </w:r>
      <w:r>
        <w:rPr>
          <w:rFonts w:hint="eastAsia" w:ascii="仿宋_GB2312" w:eastAsia="仿宋_GB2312"/>
          <w:spacing w:val="-2"/>
          <w:sz w:val="30"/>
          <w:szCs w:val="30"/>
        </w:rPr>
        <w:t>。</w:t>
      </w:r>
    </w:p>
    <w:p>
      <w:pPr>
        <w:ind w:firstLine="645"/>
        <w:rPr>
          <w:rFonts w:hint="eastAsia" w:ascii="仿宋_GB2312" w:eastAsia="仿宋_GB2312"/>
          <w:sz w:val="30"/>
          <w:szCs w:val="30"/>
        </w:rPr>
      </w:pPr>
      <w:r>
        <w:rPr>
          <w:rFonts w:hint="eastAsia" w:ascii="仿宋_GB2312" w:eastAsia="仿宋_GB2312"/>
          <w:sz w:val="30"/>
          <w:szCs w:val="30"/>
        </w:rPr>
        <w:t>紧扣案件管理职能，努力提高业务监管水平。结合案卡填录、风险评估、工作文书上传等环节，进一</w:t>
      </w:r>
      <w:r>
        <w:rPr>
          <w:rFonts w:hint="eastAsia" w:ascii="仿宋_GB2312" w:eastAsia="仿宋_GB2312"/>
          <w:bCs/>
          <w:sz w:val="30"/>
          <w:szCs w:val="30"/>
        </w:rPr>
        <w:t>步探索新办案模式下监督的针对性和有效性，严格开展流程监控工作</w:t>
      </w:r>
      <w:r>
        <w:rPr>
          <w:rFonts w:hint="eastAsia" w:ascii="仿宋_GB2312" w:eastAsia="仿宋_GB2312"/>
          <w:bCs/>
          <w:sz w:val="30"/>
          <w:szCs w:val="30"/>
          <w:lang w:eastAsia="zh-CN"/>
        </w:rPr>
        <w:t>。</w:t>
      </w:r>
      <w:r>
        <w:rPr>
          <w:rFonts w:hint="eastAsia" w:ascii="仿宋_GB2312" w:eastAsia="仿宋_GB2312"/>
          <w:sz w:val="30"/>
          <w:szCs w:val="30"/>
        </w:rPr>
        <w:t>充分发挥主导作用，通过案件评查规范案件办理、提高案件质量。认真贯彻案件信息公开的总体要求，统一思想，提高认识，确保案件信息公开及时透明。</w:t>
      </w:r>
    </w:p>
    <w:p>
      <w:pPr>
        <w:numPr>
          <w:ilvl w:val="0"/>
          <w:numId w:val="1"/>
        </w:numPr>
        <w:ind w:left="0" w:leftChars="0" w:firstLine="645"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守初心，做实主题教育活动，服务社会发展</w:t>
      </w:r>
    </w:p>
    <w:p>
      <w:pPr>
        <w:ind w:firstLine="640" w:firstLineChars="200"/>
        <w:rPr>
          <w:rFonts w:ascii="仿宋_GB2312" w:hAnsi="Arial" w:eastAsia="仿宋_GB2312" w:cs="Arial"/>
          <w:sz w:val="30"/>
          <w:szCs w:val="30"/>
        </w:rPr>
      </w:pPr>
      <w:r>
        <w:rPr>
          <w:rFonts w:hint="eastAsia" w:ascii="仿宋_GB2312" w:eastAsia="仿宋_GB2312"/>
          <w:sz w:val="30"/>
          <w:szCs w:val="30"/>
        </w:rPr>
        <w:t>按市县统一部署组织开展“不忘初心、牢记使命”主题教育，认真贯彻“守初心、担使命、找差距、抓落实”的总要求，</w:t>
      </w:r>
      <w:r>
        <w:rPr>
          <w:rFonts w:hint="eastAsia" w:ascii="仿宋_GB2312" w:hAnsi="Arial" w:eastAsia="仿宋_GB2312" w:cs="Arial"/>
          <w:sz w:val="30"/>
          <w:szCs w:val="30"/>
        </w:rPr>
        <w:t>把开展主题教育作为重要政治任务，切实履行职责，</w:t>
      </w:r>
      <w:r>
        <w:rPr>
          <w:rFonts w:hint="eastAsia" w:ascii="仿宋_GB2312" w:eastAsia="仿宋_GB2312"/>
          <w:sz w:val="30"/>
          <w:szCs w:val="30"/>
        </w:rPr>
        <w:t>扎实开展各项工作。加强组织领导，及时成立领导小组，层层传导工作压力，召开动员会，做好工作部署。结合检察工作实际制定实施意见和实施方案，同步推进党支部认真开展主题教育。院党组带头抓实学习教育、</w:t>
      </w:r>
      <w:r>
        <w:rPr>
          <w:rFonts w:hint="eastAsia" w:ascii="仿宋_GB2312" w:hAnsi="Arial" w:eastAsia="仿宋_GB2312" w:cs="Arial"/>
          <w:sz w:val="30"/>
          <w:szCs w:val="30"/>
        </w:rPr>
        <w:t>深入调查研究、深刻检视问题、认真整改落实、抓好专项整治。党组书记带头学、带头改、带头抓，</w:t>
      </w:r>
      <w:r>
        <w:rPr>
          <w:rFonts w:ascii="仿宋_GB2312" w:hAnsi="Arial" w:eastAsia="仿宋_GB2312" w:cs="Arial"/>
          <w:sz w:val="30"/>
          <w:szCs w:val="30"/>
        </w:rPr>
        <w:t>主题教育要求明确、重点突出、</w:t>
      </w:r>
      <w:r>
        <w:rPr>
          <w:rFonts w:hint="eastAsia" w:ascii="仿宋_GB2312" w:hAnsi="Arial" w:eastAsia="仿宋_GB2312" w:cs="Arial"/>
          <w:sz w:val="30"/>
          <w:szCs w:val="30"/>
        </w:rPr>
        <w:t>顺利推进</w:t>
      </w:r>
      <w:r>
        <w:rPr>
          <w:rFonts w:ascii="仿宋_GB2312" w:hAnsi="Arial" w:eastAsia="仿宋_GB2312" w:cs="Arial"/>
          <w:sz w:val="30"/>
          <w:szCs w:val="30"/>
        </w:rPr>
        <w:t>。</w:t>
      </w:r>
      <w:r>
        <w:rPr>
          <w:rFonts w:hint="eastAsia" w:ascii="仿宋_GB2312" w:hAnsi="Arial" w:eastAsia="仿宋_GB2312" w:cs="Arial"/>
          <w:sz w:val="30"/>
          <w:szCs w:val="30"/>
        </w:rPr>
        <w:t>干警守初心、担使命的思想自觉和行动自觉进一步增强，干事创业、担当作为的精气神得到提振。</w:t>
      </w:r>
    </w:p>
    <w:p>
      <w:pPr>
        <w:ind w:firstLine="645"/>
        <w:rPr>
          <w:rFonts w:hint="default" w:ascii="仿宋_GB2312" w:hAnsi="仿宋_GB2312" w:eastAsia="仿宋_GB2312" w:cs="仿宋_GB2312"/>
          <w:sz w:val="30"/>
          <w:szCs w:val="30"/>
        </w:rPr>
      </w:pPr>
      <w:r>
        <w:rPr>
          <w:rFonts w:hint="eastAsia" w:ascii="仿宋_GB2312" w:hAnsi="ˎ̥" w:eastAsia="仿宋_GB2312" w:cs="宋体"/>
          <w:color w:val="000000"/>
          <w:kern w:val="0"/>
          <w:sz w:val="30"/>
          <w:szCs w:val="30"/>
        </w:rPr>
        <w:t>见微知著、一叶知秋，用心体会人民所需所求。将学习教育成果转化为助力经济发展的实际行动，结合检察工作实际，综合发挥打击、监督、保护等职能，准确把握法律政策界限。把为人民服务的宗旨意识融入执法办案的每一个环节，注重案件办理的法律效果、社会效果、政治效果有机统一，让人民群众在每一个案件中感受到公平正义。坚持执法为民，举办了“检察护航民企发展”检察开放日活动，“面对面”听取企业家的意见建议，“心连心”凝聚发展共识。切入点，积极履行职责，为民营经济发展提供有力司法保障。</w:t>
      </w:r>
    </w:p>
    <w:p>
      <w:pPr>
        <w:autoSpaceDE w:val="0"/>
        <w:autoSpaceDN w:val="0"/>
        <w:adjustRightInd w:val="0"/>
        <w:spacing w:line="590" w:lineRule="exact"/>
        <w:ind w:left="0" w:firstLine="600" w:firstLineChars="200"/>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二、部门基本情况</w:t>
      </w:r>
    </w:p>
    <w:p>
      <w:pPr>
        <w:autoSpaceDE w:val="0"/>
        <w:autoSpaceDN w:val="0"/>
        <w:adjustRightInd w:val="0"/>
        <w:spacing w:line="590" w:lineRule="exact"/>
        <w:ind w:left="0" w:firstLine="600" w:firstLineChars="200"/>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（一）部门决算单位构成</w:t>
      </w:r>
    </w:p>
    <w:p>
      <w:pPr>
        <w:widowControl w:val="0"/>
        <w:shd w:val="clear" w:color="auto" w:fill="FFFFFF"/>
        <w:spacing w:line="600" w:lineRule="exact"/>
        <w:ind w:firstLine="600"/>
        <w:rPr>
          <w:rFonts w:hint="eastAsia" w:ascii="仿宋_GB2312" w:hAnsi="仿宋_GB2312" w:eastAsia="仿宋_GB2312" w:cs="仿宋_GB2312"/>
          <w:color w:val="FF0000"/>
          <w:kern w:val="2"/>
          <w:sz w:val="30"/>
          <w:szCs w:val="30"/>
        </w:rPr>
      </w:pPr>
      <w:r>
        <w:rPr>
          <w:rFonts w:hint="eastAsia" w:ascii="仿宋_GB2312" w:hAnsi="仿宋_GB2312" w:eastAsia="仿宋_GB2312" w:cs="仿宋_GB2312"/>
          <w:kern w:val="2"/>
          <w:sz w:val="30"/>
          <w:szCs w:val="30"/>
        </w:rPr>
        <w:t>纳入昆明市石林彝族自治县人民检察院2019年度部门决算编报的单位共1个。其中：</w:t>
      </w:r>
      <w:r>
        <w:rPr>
          <w:rFonts w:hint="eastAsia" w:ascii="仿宋_GB2312" w:hAnsi="仿宋_GB2312" w:eastAsia="仿宋_GB2312" w:cs="仿宋_GB2312"/>
          <w:color w:val="auto"/>
          <w:kern w:val="2"/>
          <w:sz w:val="30"/>
          <w:szCs w:val="30"/>
        </w:rPr>
        <w:t>行政单位</w:t>
      </w:r>
      <w:r>
        <w:rPr>
          <w:rFonts w:hint="eastAsia" w:ascii="仿宋_GB2312" w:hAnsi="仿宋_GB2312" w:eastAsia="仿宋_GB2312" w:cs="仿宋_GB2312"/>
          <w:color w:val="auto"/>
          <w:kern w:val="2"/>
          <w:sz w:val="30"/>
          <w:szCs w:val="30"/>
          <w:lang w:val="en-US" w:eastAsia="zh-CN"/>
        </w:rPr>
        <w:t>1</w:t>
      </w:r>
      <w:r>
        <w:rPr>
          <w:rFonts w:hint="eastAsia" w:ascii="仿宋_GB2312" w:hAnsi="仿宋_GB2312" w:eastAsia="仿宋_GB2312" w:cs="仿宋_GB2312"/>
          <w:color w:val="auto"/>
          <w:kern w:val="2"/>
          <w:sz w:val="30"/>
          <w:szCs w:val="30"/>
        </w:rPr>
        <w:t>个</w:t>
      </w:r>
      <w:r>
        <w:rPr>
          <w:rFonts w:hint="eastAsia" w:ascii="仿宋_GB2312" w:hAnsi="仿宋_GB2312" w:eastAsia="仿宋_GB2312" w:cs="仿宋_GB2312"/>
          <w:kern w:val="2"/>
          <w:sz w:val="30"/>
          <w:szCs w:val="30"/>
        </w:rPr>
        <w:t>，</w:t>
      </w:r>
      <w:r>
        <w:rPr>
          <w:rFonts w:hint="eastAsia" w:ascii="仿宋_GB2312" w:hAnsi="仿宋_GB2312" w:eastAsia="仿宋_GB2312" w:cs="仿宋_GB2312"/>
          <w:color w:val="333333"/>
          <w:sz w:val="30"/>
          <w:szCs w:val="30"/>
        </w:rPr>
        <w:t>参照公务员法管理的事业单位0个，其他事业单位0个。分别是：</w:t>
      </w:r>
      <w:r>
        <w:rPr>
          <w:rFonts w:hint="eastAsia" w:ascii="仿宋_GB2312" w:hAnsi="仿宋_GB2312" w:eastAsia="仿宋_GB2312" w:cs="仿宋_GB2312"/>
          <w:kern w:val="2"/>
          <w:sz w:val="30"/>
          <w:szCs w:val="30"/>
        </w:rPr>
        <w:t>昆明市石林彝族自治县人民检察院</w:t>
      </w:r>
      <w:r>
        <w:rPr>
          <w:rFonts w:hint="eastAsia" w:ascii="仿宋_GB2312" w:hAnsi="仿宋_GB2312" w:eastAsia="仿宋_GB2312" w:cs="仿宋_GB2312"/>
          <w:kern w:val="2"/>
          <w:sz w:val="30"/>
          <w:szCs w:val="30"/>
          <w:lang w:eastAsia="zh-CN"/>
        </w:rPr>
        <w:t>。</w:t>
      </w:r>
    </w:p>
    <w:p>
      <w:pPr>
        <w:autoSpaceDE w:val="0"/>
        <w:autoSpaceDN w:val="0"/>
        <w:adjustRightInd w:val="0"/>
        <w:spacing w:line="590" w:lineRule="exact"/>
        <w:ind w:left="0" w:firstLine="600" w:firstLineChars="200"/>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（二）部门人员和车辆的编制及实有情况</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2"/>
          <w:sz w:val="30"/>
          <w:szCs w:val="30"/>
        </w:rPr>
        <w:t>昆明市石林彝族自治县人民检察院2019年末实有人员编制</w:t>
      </w:r>
      <w:r>
        <w:rPr>
          <w:rFonts w:hint="eastAsia" w:ascii="仿宋_GB2312" w:hAnsi="仿宋_GB2312" w:eastAsia="仿宋_GB2312" w:cs="仿宋_GB2312"/>
          <w:color w:val="auto"/>
          <w:kern w:val="2"/>
          <w:sz w:val="30"/>
          <w:szCs w:val="30"/>
          <w:lang w:val="en-US" w:eastAsia="zh-CN"/>
        </w:rPr>
        <w:t>38</w:t>
      </w:r>
      <w:r>
        <w:rPr>
          <w:rFonts w:hint="eastAsia" w:ascii="仿宋_GB2312" w:hAnsi="仿宋_GB2312" w:eastAsia="仿宋_GB2312" w:cs="仿宋_GB2312"/>
          <w:color w:val="auto"/>
          <w:kern w:val="0"/>
          <w:sz w:val="30"/>
          <w:szCs w:val="30"/>
        </w:rPr>
        <w:t>人。其中：行政编制</w:t>
      </w:r>
      <w:r>
        <w:rPr>
          <w:rFonts w:hint="eastAsia" w:ascii="仿宋_GB2312" w:hAnsi="仿宋_GB2312" w:eastAsia="仿宋_GB2312" w:cs="仿宋_GB2312"/>
          <w:color w:val="auto"/>
          <w:kern w:val="2"/>
          <w:sz w:val="30"/>
          <w:szCs w:val="30"/>
          <w:lang w:val="en-US" w:eastAsia="zh-CN"/>
        </w:rPr>
        <w:t>38</w:t>
      </w:r>
      <w:r>
        <w:rPr>
          <w:rFonts w:hint="eastAsia" w:ascii="仿宋_GB2312" w:hAnsi="仿宋_GB2312" w:eastAsia="仿宋_GB2312" w:cs="仿宋_GB2312"/>
          <w:color w:val="auto"/>
          <w:kern w:val="0"/>
          <w:sz w:val="30"/>
          <w:szCs w:val="30"/>
        </w:rPr>
        <w:t>人（含行政工勤编制</w:t>
      </w:r>
      <w:r>
        <w:rPr>
          <w:rFonts w:hint="eastAsia" w:ascii="仿宋_GB2312" w:hAnsi="仿宋_GB2312" w:eastAsia="仿宋_GB2312" w:cs="仿宋_GB2312"/>
          <w:color w:val="auto"/>
          <w:kern w:val="2"/>
          <w:sz w:val="30"/>
          <w:szCs w:val="30"/>
          <w:lang w:val="en-US" w:eastAsia="zh-CN"/>
        </w:rPr>
        <w:t>6</w:t>
      </w:r>
      <w:r>
        <w:rPr>
          <w:rFonts w:hint="eastAsia" w:ascii="仿宋_GB2312" w:hAnsi="仿宋_GB2312" w:eastAsia="仿宋_GB2312" w:cs="仿宋_GB2312"/>
          <w:color w:val="auto"/>
          <w:kern w:val="0"/>
          <w:sz w:val="30"/>
          <w:szCs w:val="30"/>
        </w:rPr>
        <w:t>人），事业编制</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人（含参公管理事业编制</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人）；在职在编实有行政人员</w:t>
      </w:r>
      <w:r>
        <w:rPr>
          <w:rFonts w:hint="eastAsia" w:ascii="仿宋_GB2312" w:hAnsi="仿宋_GB2312" w:eastAsia="仿宋_GB2312" w:cs="仿宋_GB2312"/>
          <w:color w:val="auto"/>
          <w:kern w:val="2"/>
          <w:sz w:val="30"/>
          <w:szCs w:val="30"/>
        </w:rPr>
        <w:t>33</w:t>
      </w:r>
      <w:r>
        <w:rPr>
          <w:rFonts w:hint="eastAsia" w:ascii="仿宋_GB2312" w:hAnsi="仿宋_GB2312" w:eastAsia="仿宋_GB2312" w:cs="仿宋_GB2312"/>
          <w:color w:val="auto"/>
          <w:kern w:val="0"/>
          <w:sz w:val="30"/>
          <w:szCs w:val="30"/>
        </w:rPr>
        <w:t>人（含行政工勤人员</w:t>
      </w:r>
      <w:r>
        <w:rPr>
          <w:rFonts w:hint="eastAsia" w:ascii="仿宋_GB2312" w:hAnsi="仿宋_GB2312" w:eastAsia="仿宋_GB2312" w:cs="仿宋_GB2312"/>
          <w:color w:val="auto"/>
          <w:kern w:val="2"/>
          <w:sz w:val="30"/>
          <w:szCs w:val="30"/>
          <w:lang w:val="en-US" w:eastAsia="zh-CN"/>
        </w:rPr>
        <w:t>6</w:t>
      </w:r>
      <w:r>
        <w:rPr>
          <w:rFonts w:hint="eastAsia" w:ascii="仿宋_GB2312" w:hAnsi="仿宋_GB2312" w:eastAsia="仿宋_GB2312" w:cs="仿宋_GB2312"/>
          <w:color w:val="auto"/>
          <w:kern w:val="0"/>
          <w:sz w:val="30"/>
          <w:szCs w:val="30"/>
        </w:rPr>
        <w:t>人），事业人员</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人（含参公管理事业人员</w:t>
      </w:r>
      <w:r>
        <w:rPr>
          <w:rFonts w:hint="eastAsia" w:ascii="仿宋_GB2312" w:hAnsi="仿宋_GB2312" w:eastAsia="仿宋_GB2312" w:cs="仿宋_GB2312"/>
          <w:color w:val="auto"/>
          <w:kern w:val="2"/>
          <w:sz w:val="30"/>
          <w:szCs w:val="30"/>
        </w:rPr>
        <w:t>0</w:t>
      </w:r>
      <w:r>
        <w:rPr>
          <w:rFonts w:hint="eastAsia" w:ascii="仿宋_GB2312" w:hAnsi="仿宋_GB2312" w:eastAsia="仿宋_GB2312" w:cs="仿宋_GB2312"/>
          <w:color w:val="auto"/>
          <w:kern w:val="0"/>
          <w:sz w:val="30"/>
          <w:szCs w:val="30"/>
        </w:rPr>
        <w:t>人），其他人员</w:t>
      </w:r>
      <w:r>
        <w:rPr>
          <w:rFonts w:hint="eastAsia" w:ascii="仿宋_GB2312" w:hAnsi="仿宋_GB2312" w:eastAsia="仿宋_GB2312" w:cs="仿宋_GB2312"/>
          <w:color w:val="auto"/>
          <w:kern w:val="2"/>
          <w:sz w:val="30"/>
          <w:szCs w:val="30"/>
        </w:rPr>
        <w:t>11</w:t>
      </w:r>
      <w:r>
        <w:rPr>
          <w:rFonts w:hint="eastAsia" w:ascii="仿宋_GB2312" w:hAnsi="仿宋_GB2312" w:eastAsia="仿宋_GB2312" w:cs="仿宋_GB2312"/>
          <w:color w:val="auto"/>
          <w:kern w:val="0"/>
          <w:sz w:val="30"/>
          <w:szCs w:val="30"/>
        </w:rPr>
        <w:t>人，是</w:t>
      </w:r>
      <w:r>
        <w:rPr>
          <w:rFonts w:hint="eastAsia" w:ascii="仿宋_GB2312" w:hAnsi="仿宋_GB2312" w:eastAsia="仿宋_GB2312" w:cs="仿宋_GB2312"/>
          <w:color w:val="auto"/>
          <w:kern w:val="0"/>
          <w:sz w:val="30"/>
          <w:szCs w:val="30"/>
          <w:lang w:eastAsia="zh-CN"/>
        </w:rPr>
        <w:t>聘用制书记员</w:t>
      </w:r>
      <w:r>
        <w:rPr>
          <w:rFonts w:hint="eastAsia" w:ascii="仿宋_GB2312" w:hAnsi="仿宋_GB2312" w:eastAsia="仿宋_GB2312" w:cs="仿宋_GB2312"/>
          <w:color w:val="auto"/>
          <w:kern w:val="0"/>
          <w:sz w:val="30"/>
          <w:szCs w:val="30"/>
          <w:lang w:val="en-US" w:eastAsia="zh-CN"/>
        </w:rPr>
        <w:t>11人</w:t>
      </w:r>
      <w:r>
        <w:rPr>
          <w:rFonts w:hint="eastAsia" w:ascii="仿宋_GB2312" w:hAnsi="仿宋_GB2312" w:eastAsia="仿宋_GB2312" w:cs="仿宋_GB2312"/>
          <w:color w:val="auto"/>
          <w:kern w:val="0"/>
          <w:sz w:val="30"/>
          <w:szCs w:val="30"/>
        </w:rPr>
        <w:t>。</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离退休人员</w:t>
      </w:r>
      <w:r>
        <w:rPr>
          <w:rFonts w:hint="eastAsia" w:ascii="仿宋_GB2312" w:hAnsi="仿宋_GB2312" w:eastAsia="仿宋_GB2312" w:cs="仿宋_GB2312"/>
          <w:color w:val="auto"/>
          <w:kern w:val="2"/>
          <w:sz w:val="30"/>
          <w:szCs w:val="30"/>
          <w:lang w:val="en-US" w:eastAsia="zh-CN"/>
        </w:rPr>
        <w:t>15</w:t>
      </w:r>
      <w:r>
        <w:rPr>
          <w:rFonts w:hint="eastAsia" w:ascii="仿宋_GB2312" w:hAnsi="仿宋_GB2312" w:eastAsia="仿宋_GB2312" w:cs="仿宋_GB2312"/>
          <w:color w:val="auto"/>
          <w:kern w:val="0"/>
          <w:sz w:val="30"/>
          <w:szCs w:val="30"/>
        </w:rPr>
        <w:t>人。其中：离休</w:t>
      </w:r>
      <w:r>
        <w:rPr>
          <w:rFonts w:hint="eastAsia" w:ascii="仿宋_GB2312" w:hAnsi="仿宋_GB2312" w:eastAsia="仿宋_GB2312" w:cs="仿宋_GB2312"/>
          <w:color w:val="auto"/>
          <w:kern w:val="0"/>
          <w:sz w:val="30"/>
          <w:szCs w:val="30"/>
          <w:lang w:val="en-US" w:eastAsia="zh-CN"/>
        </w:rPr>
        <w:t>1</w:t>
      </w:r>
      <w:r>
        <w:rPr>
          <w:rFonts w:hint="eastAsia" w:ascii="仿宋_GB2312" w:hAnsi="仿宋_GB2312" w:eastAsia="仿宋_GB2312" w:cs="仿宋_GB2312"/>
          <w:color w:val="auto"/>
          <w:kern w:val="0"/>
          <w:sz w:val="30"/>
          <w:szCs w:val="30"/>
        </w:rPr>
        <w:t>人，退休</w:t>
      </w:r>
      <w:r>
        <w:rPr>
          <w:rFonts w:hint="eastAsia" w:ascii="仿宋_GB2312" w:hAnsi="仿宋_GB2312" w:eastAsia="仿宋_GB2312" w:cs="仿宋_GB2312"/>
          <w:color w:val="auto"/>
          <w:kern w:val="0"/>
          <w:sz w:val="30"/>
          <w:szCs w:val="30"/>
          <w:lang w:val="en-US" w:eastAsia="zh-CN"/>
        </w:rPr>
        <w:t>14</w:t>
      </w:r>
      <w:r>
        <w:rPr>
          <w:rFonts w:hint="eastAsia" w:ascii="仿宋_GB2312" w:hAnsi="仿宋_GB2312" w:eastAsia="仿宋_GB2312" w:cs="仿宋_GB2312"/>
          <w:color w:val="auto"/>
          <w:kern w:val="0"/>
          <w:sz w:val="30"/>
          <w:szCs w:val="30"/>
        </w:rPr>
        <w:t>人。</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实有车辆编制</w:t>
      </w:r>
      <w:r>
        <w:rPr>
          <w:rFonts w:hint="eastAsia" w:ascii="仿宋_GB2312" w:hAnsi="仿宋_GB2312" w:eastAsia="仿宋_GB2312" w:cs="仿宋_GB2312"/>
          <w:color w:val="auto"/>
          <w:kern w:val="2"/>
          <w:sz w:val="30"/>
          <w:szCs w:val="30"/>
          <w:lang w:val="en-US" w:eastAsia="zh-CN"/>
        </w:rPr>
        <w:t>9</w:t>
      </w:r>
      <w:r>
        <w:rPr>
          <w:rFonts w:hint="eastAsia" w:ascii="仿宋_GB2312" w:hAnsi="仿宋_GB2312" w:eastAsia="仿宋_GB2312" w:cs="仿宋_GB2312"/>
          <w:color w:val="auto"/>
          <w:kern w:val="0"/>
          <w:sz w:val="30"/>
          <w:szCs w:val="30"/>
        </w:rPr>
        <w:t>辆，在编实有车辆</w:t>
      </w:r>
      <w:r>
        <w:rPr>
          <w:rFonts w:hint="eastAsia" w:ascii="仿宋_GB2312" w:hAnsi="仿宋_GB2312" w:eastAsia="仿宋_GB2312" w:cs="仿宋_GB2312"/>
          <w:color w:val="auto"/>
          <w:kern w:val="2"/>
          <w:sz w:val="30"/>
          <w:szCs w:val="30"/>
        </w:rPr>
        <w:t>11</w:t>
      </w:r>
      <w:r>
        <w:rPr>
          <w:rFonts w:hint="eastAsia" w:ascii="仿宋_GB2312" w:hAnsi="仿宋_GB2312" w:eastAsia="仿宋_GB2312" w:cs="仿宋_GB2312"/>
          <w:color w:val="auto"/>
          <w:kern w:val="0"/>
          <w:sz w:val="30"/>
          <w:szCs w:val="30"/>
        </w:rPr>
        <w:t>辆。</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0"/>
          <w:sz w:val="30"/>
          <w:szCs w:val="30"/>
        </w:rPr>
      </w:pPr>
    </w:p>
    <w:p>
      <w:pPr>
        <w:autoSpaceDE w:val="0"/>
        <w:autoSpaceDN w:val="0"/>
        <w:adjustRightInd w:val="0"/>
        <w:spacing w:line="590" w:lineRule="exact"/>
        <w:jc w:val="center"/>
        <w:rPr>
          <w:rFonts w:hint="default" w:ascii="Times New Roman" w:hAnsi="Times New Roman" w:eastAsia="黑体" w:cs="Times New Roman"/>
          <w:kern w:val="2"/>
          <w:sz w:val="32"/>
          <w:szCs w:val="32"/>
        </w:rPr>
      </w:pPr>
      <w:r>
        <w:rPr>
          <w:rFonts w:hint="eastAsia" w:ascii="黑体" w:hAnsi="Times New Roman" w:eastAsia="黑体" w:cs="黑体"/>
          <w:kern w:val="2"/>
          <w:sz w:val="32"/>
          <w:szCs w:val="32"/>
        </w:rPr>
        <w:t>第二部分  2019年度部门决算表</w:t>
      </w:r>
    </w:p>
    <w:p>
      <w:pPr>
        <w:autoSpaceDE w:val="0"/>
        <w:autoSpaceDN w:val="0"/>
        <w:adjustRightInd w:val="0"/>
        <w:spacing w:line="590" w:lineRule="exact"/>
        <w:jc w:val="center"/>
        <w:rPr>
          <w:rFonts w:hint="default" w:ascii="Times New Roman" w:hAnsi="Times New Roman" w:eastAsia="仿宋" w:cs="Times New Roman"/>
          <w:color w:val="auto"/>
          <w:kern w:val="2"/>
          <w:sz w:val="30"/>
          <w:szCs w:val="30"/>
        </w:rPr>
      </w:pPr>
      <w:r>
        <w:rPr>
          <w:rFonts w:hint="eastAsia" w:ascii="仿宋" w:hAnsi="Times New Roman" w:eastAsia="仿宋" w:cs="仿宋"/>
          <w:color w:val="auto"/>
          <w:kern w:val="2"/>
          <w:sz w:val="30"/>
          <w:szCs w:val="30"/>
        </w:rPr>
        <w:t>（详见附件）</w:t>
      </w:r>
    </w:p>
    <w:p>
      <w:pPr>
        <w:autoSpaceDE w:val="0"/>
        <w:autoSpaceDN w:val="0"/>
        <w:adjustRightInd w:val="0"/>
        <w:spacing w:line="590" w:lineRule="exact"/>
        <w:jc w:val="left"/>
        <w:rPr>
          <w:rFonts w:hint="eastAsia" w:ascii="仿宋_GB2312" w:hAnsi="仿宋_GB2312" w:eastAsia="仿宋_GB2312" w:cs="仿宋_GB2312"/>
          <w:kern w:val="2"/>
          <w:sz w:val="30"/>
          <w:szCs w:val="30"/>
        </w:rPr>
      </w:pPr>
      <w:r>
        <w:rPr>
          <w:rFonts w:hint="eastAsia" w:ascii="Times New Roman" w:hAnsi="Times New Roman" w:eastAsia="仿宋" w:cs="Times New Roman"/>
          <w:kern w:val="2"/>
          <w:sz w:val="30"/>
          <w:szCs w:val="30"/>
          <w:lang w:val="en-US" w:eastAsia="zh-CN"/>
        </w:rPr>
        <w:t xml:space="preserve">        </w:t>
      </w:r>
      <w:r>
        <w:rPr>
          <w:rFonts w:hint="eastAsia" w:ascii="仿宋_GB2312" w:hAnsi="仿宋_GB2312" w:eastAsia="仿宋_GB2312" w:cs="仿宋_GB2312"/>
          <w:kern w:val="2"/>
          <w:sz w:val="30"/>
          <w:szCs w:val="30"/>
          <w:lang w:val="en-US" w:eastAsia="zh-CN"/>
        </w:rPr>
        <w:t>说明：昆明市石林彝族自治县人民检察院没有政府性基金收入，也没有使用政府性基金安排的支出，故《政府性基金预算财政拨款收入支出决算表》无数据。</w:t>
      </w:r>
      <w:r>
        <w:rPr>
          <w:rFonts w:hint="eastAsia" w:ascii="仿宋_GB2312" w:hAnsi="仿宋_GB2312" w:eastAsia="仿宋_GB2312" w:cs="仿宋_GB2312"/>
          <w:kern w:val="2"/>
          <w:sz w:val="30"/>
          <w:szCs w:val="30"/>
        </w:rPr>
        <w:t xml:space="preserve"> </w:t>
      </w:r>
    </w:p>
    <w:p>
      <w:pPr>
        <w:autoSpaceDE w:val="0"/>
        <w:autoSpaceDN w:val="0"/>
        <w:adjustRightInd w:val="0"/>
        <w:spacing w:line="590" w:lineRule="exact"/>
        <w:jc w:val="left"/>
        <w:rPr>
          <w:rFonts w:hint="eastAsia" w:ascii="仿宋_GB2312" w:hAnsi="仿宋_GB2312" w:eastAsia="仿宋_GB2312" w:cs="仿宋_GB2312"/>
          <w:kern w:val="2"/>
          <w:sz w:val="30"/>
          <w:szCs w:val="30"/>
        </w:rPr>
      </w:pPr>
    </w:p>
    <w:p>
      <w:pPr>
        <w:autoSpaceDE w:val="0"/>
        <w:autoSpaceDN w:val="0"/>
        <w:adjustRightInd w:val="0"/>
        <w:spacing w:line="590" w:lineRule="exact"/>
        <w:jc w:val="center"/>
        <w:rPr>
          <w:rFonts w:hint="default" w:ascii="Times New Roman" w:hAnsi="Times New Roman" w:eastAsia="黑体" w:cs="Times New Roman"/>
          <w:kern w:val="2"/>
          <w:sz w:val="32"/>
          <w:szCs w:val="32"/>
        </w:rPr>
      </w:pPr>
      <w:r>
        <w:rPr>
          <w:rFonts w:hint="eastAsia" w:ascii="黑体" w:hAnsi="Times New Roman" w:eastAsia="黑体" w:cs="黑体"/>
          <w:kern w:val="2"/>
          <w:sz w:val="32"/>
          <w:szCs w:val="32"/>
        </w:rPr>
        <w:t>第三部分  2019年度部门决算情况说明</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一、收入决算情况说明</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昆明市石林彝族自治县人民检察院2019年度收入合计1,495.96万元。其中：财政拨款收入1,466.59万元，占总收入的98.04%；上级补助收入0.00万元，占总收入的0.00%；事业收入0.00万元，占总收入的0.00%；经营收入0.00万元，占总收入的0.00%；附属单位缴款收入0.00万元，占总收入的0.00%；其他收入29.36万元，占总收入的1.96%。与上年对比</w:t>
      </w:r>
      <w:r>
        <w:rPr>
          <w:rFonts w:hint="eastAsia" w:ascii="仿宋_GB2312" w:hAnsi="仿宋_GB2312" w:eastAsia="仿宋_GB2312" w:cs="仿宋_GB2312"/>
          <w:color w:val="auto"/>
          <w:kern w:val="2"/>
          <w:sz w:val="30"/>
          <w:szCs w:val="30"/>
          <w:lang w:eastAsia="zh-CN"/>
        </w:rPr>
        <w:t>减少</w:t>
      </w:r>
      <w:r>
        <w:rPr>
          <w:rFonts w:hint="eastAsia" w:ascii="仿宋_GB2312" w:hAnsi="仿宋_GB2312" w:eastAsia="仿宋_GB2312" w:cs="仿宋_GB2312"/>
          <w:color w:val="auto"/>
          <w:kern w:val="2"/>
          <w:sz w:val="30"/>
          <w:szCs w:val="30"/>
          <w:lang w:val="en-US" w:eastAsia="zh-CN"/>
        </w:rPr>
        <w:t>100.99万元 ，下降了6.32%；</w:t>
      </w:r>
      <w:r>
        <w:rPr>
          <w:rFonts w:hint="eastAsia" w:ascii="仿宋_GB2312" w:hAnsi="仿宋_GB2312" w:eastAsia="仿宋_GB2312" w:cs="仿宋_GB2312"/>
          <w:color w:val="auto"/>
          <w:kern w:val="2"/>
          <w:sz w:val="30"/>
          <w:szCs w:val="30"/>
        </w:rPr>
        <w:t>主要原因分析</w:t>
      </w:r>
      <w:r>
        <w:rPr>
          <w:rFonts w:hint="eastAsia" w:ascii="仿宋_GB2312" w:hAnsi="仿宋_GB2312" w:eastAsia="仿宋_GB2312" w:cs="仿宋_GB2312"/>
          <w:color w:val="auto"/>
          <w:kern w:val="2"/>
          <w:sz w:val="30"/>
          <w:szCs w:val="30"/>
          <w:lang w:eastAsia="zh-CN"/>
        </w:rPr>
        <w:t>：</w:t>
      </w:r>
      <w:r>
        <w:rPr>
          <w:rFonts w:hint="eastAsia" w:ascii="仿宋_GB2312" w:hAnsi="仿宋_GB2312" w:eastAsia="仿宋_GB2312" w:cs="仿宋_GB2312"/>
          <w:color w:val="auto"/>
          <w:kern w:val="2"/>
          <w:sz w:val="30"/>
          <w:szCs w:val="30"/>
          <w:lang w:val="en-US" w:eastAsia="zh-CN"/>
        </w:rPr>
        <w:t>2019年其他收入减少</w:t>
      </w:r>
      <w:r>
        <w:rPr>
          <w:rFonts w:hint="eastAsia" w:ascii="仿宋_GB2312" w:hAnsi="仿宋_GB2312" w:eastAsia="仿宋_GB2312" w:cs="仿宋_GB2312"/>
          <w:color w:val="auto"/>
          <w:kern w:val="2"/>
          <w:sz w:val="30"/>
          <w:szCs w:val="30"/>
        </w:rPr>
        <w:t>。</w:t>
      </w:r>
    </w:p>
    <w:p>
      <w:pPr>
        <w:autoSpaceDE w:val="0"/>
        <w:autoSpaceDN w:val="0"/>
        <w:adjustRightInd w:val="0"/>
        <w:spacing w:line="590" w:lineRule="exact"/>
        <w:ind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二、支出决算情况说明</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昆明市石林彝族自治县人民检察院2019年度支出合计1,553.69万元。其中：</w:t>
      </w:r>
      <w:r>
        <w:rPr>
          <w:rFonts w:hint="eastAsia" w:ascii="仿宋_GB2312" w:hAnsi="仿宋_GB2312" w:eastAsia="仿宋_GB2312" w:cs="仿宋_GB2312"/>
          <w:color w:val="auto"/>
          <w:kern w:val="0"/>
          <w:sz w:val="30"/>
          <w:szCs w:val="30"/>
        </w:rPr>
        <w:t>基本支出</w:t>
      </w:r>
      <w:r>
        <w:rPr>
          <w:rFonts w:hint="eastAsia" w:ascii="仿宋_GB2312" w:hAnsi="仿宋_GB2312" w:eastAsia="仿宋_GB2312" w:cs="仿宋_GB2312"/>
          <w:color w:val="auto"/>
          <w:kern w:val="2"/>
          <w:sz w:val="30"/>
          <w:szCs w:val="30"/>
        </w:rPr>
        <w:t>1,178.05万</w:t>
      </w:r>
      <w:r>
        <w:rPr>
          <w:rFonts w:hint="eastAsia" w:ascii="仿宋_GB2312" w:hAnsi="仿宋_GB2312" w:eastAsia="仿宋_GB2312" w:cs="仿宋_GB2312"/>
          <w:color w:val="auto"/>
          <w:kern w:val="0"/>
          <w:sz w:val="30"/>
          <w:szCs w:val="30"/>
        </w:rPr>
        <w:t>元，占总支出的</w:t>
      </w:r>
      <w:r>
        <w:rPr>
          <w:rFonts w:hint="eastAsia" w:ascii="仿宋_GB2312" w:hAnsi="仿宋_GB2312" w:eastAsia="仿宋_GB2312" w:cs="仿宋_GB2312"/>
          <w:color w:val="auto"/>
          <w:kern w:val="2"/>
          <w:sz w:val="30"/>
          <w:szCs w:val="30"/>
        </w:rPr>
        <w:t>75.82%</w:t>
      </w:r>
      <w:r>
        <w:rPr>
          <w:rFonts w:hint="eastAsia" w:ascii="仿宋_GB2312" w:hAnsi="仿宋_GB2312" w:eastAsia="仿宋_GB2312" w:cs="仿宋_GB2312"/>
          <w:color w:val="auto"/>
          <w:kern w:val="0"/>
          <w:sz w:val="30"/>
          <w:szCs w:val="30"/>
        </w:rPr>
        <w:t>；项目支出</w:t>
      </w:r>
      <w:r>
        <w:rPr>
          <w:rFonts w:hint="eastAsia" w:ascii="仿宋_GB2312" w:hAnsi="仿宋_GB2312" w:eastAsia="仿宋_GB2312" w:cs="仿宋_GB2312"/>
          <w:color w:val="auto"/>
          <w:kern w:val="2"/>
          <w:sz w:val="30"/>
          <w:szCs w:val="30"/>
        </w:rPr>
        <w:t>375.63万</w:t>
      </w:r>
      <w:r>
        <w:rPr>
          <w:rFonts w:hint="eastAsia" w:ascii="仿宋_GB2312" w:hAnsi="仿宋_GB2312" w:eastAsia="仿宋_GB2312" w:cs="仿宋_GB2312"/>
          <w:color w:val="auto"/>
          <w:kern w:val="0"/>
          <w:sz w:val="30"/>
          <w:szCs w:val="30"/>
        </w:rPr>
        <w:t>元，占总支出的</w:t>
      </w:r>
      <w:r>
        <w:rPr>
          <w:rFonts w:hint="eastAsia" w:ascii="仿宋_GB2312" w:hAnsi="仿宋_GB2312" w:eastAsia="仿宋_GB2312" w:cs="仿宋_GB2312"/>
          <w:color w:val="auto"/>
          <w:kern w:val="2"/>
          <w:sz w:val="30"/>
          <w:szCs w:val="30"/>
        </w:rPr>
        <w:t>24.18%</w:t>
      </w: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2"/>
          <w:sz w:val="30"/>
          <w:szCs w:val="30"/>
        </w:rPr>
        <w:t>与上年对比</w:t>
      </w:r>
      <w:r>
        <w:rPr>
          <w:rFonts w:hint="eastAsia" w:ascii="仿宋_GB2312" w:hAnsi="仿宋_GB2312" w:eastAsia="仿宋_GB2312" w:cs="仿宋_GB2312"/>
          <w:color w:val="auto"/>
          <w:kern w:val="2"/>
          <w:sz w:val="30"/>
          <w:szCs w:val="30"/>
          <w:lang w:eastAsia="zh-CN"/>
        </w:rPr>
        <w:t>，增加</w:t>
      </w:r>
      <w:r>
        <w:rPr>
          <w:rFonts w:hint="eastAsia" w:ascii="仿宋_GB2312" w:hAnsi="仿宋_GB2312" w:eastAsia="仿宋_GB2312" w:cs="仿宋_GB2312"/>
          <w:color w:val="auto"/>
          <w:kern w:val="2"/>
          <w:sz w:val="30"/>
          <w:szCs w:val="30"/>
          <w:lang w:val="en-US" w:eastAsia="zh-CN"/>
        </w:rPr>
        <w:t>95.74万元</w:t>
      </w:r>
      <w:r>
        <w:rPr>
          <w:rFonts w:hint="eastAsia" w:ascii="仿宋_GB2312" w:hAnsi="仿宋_GB2312" w:eastAsia="仿宋_GB2312" w:cs="仿宋_GB2312"/>
          <w:color w:val="auto"/>
          <w:kern w:val="2"/>
          <w:sz w:val="30"/>
          <w:szCs w:val="30"/>
        </w:rPr>
        <w:t>，主要原因分析</w:t>
      </w:r>
      <w:r>
        <w:rPr>
          <w:rFonts w:hint="eastAsia" w:ascii="仿宋_GB2312" w:hAnsi="仿宋_GB2312" w:eastAsia="仿宋_GB2312" w:cs="仿宋_GB2312"/>
          <w:color w:val="auto"/>
          <w:kern w:val="2"/>
          <w:sz w:val="30"/>
          <w:szCs w:val="30"/>
          <w:lang w:eastAsia="zh-CN"/>
        </w:rPr>
        <w:t>：</w:t>
      </w:r>
      <w:r>
        <w:rPr>
          <w:rFonts w:hint="eastAsia" w:ascii="仿宋_GB2312" w:hAnsi="仿宋_GB2312" w:eastAsia="仿宋_GB2312" w:cs="仿宋_GB2312"/>
          <w:color w:val="auto"/>
          <w:kern w:val="2"/>
          <w:sz w:val="30"/>
          <w:szCs w:val="30"/>
          <w:lang w:val="en-US" w:eastAsia="zh-CN"/>
        </w:rPr>
        <w:t>2019年基本支出增加。</w:t>
      </w:r>
    </w:p>
    <w:p>
      <w:pPr>
        <w:autoSpaceDE w:val="0"/>
        <w:autoSpaceDN w:val="0"/>
        <w:adjustRightInd w:val="0"/>
        <w:spacing w:line="590" w:lineRule="exact"/>
        <w:ind w:left="0" w:firstLine="600" w:firstLineChars="200"/>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（一）基本支出情况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2019年度用于保障昆明市石林彝族自治县人民检察院机关、下属事业单位等机构正常运转的日常支出1,178.05万元。与上年对比</w:t>
      </w:r>
      <w:r>
        <w:rPr>
          <w:rFonts w:hint="eastAsia" w:ascii="仿宋_GB2312" w:hAnsi="仿宋_GB2312" w:eastAsia="仿宋_GB2312" w:cs="仿宋_GB2312"/>
          <w:color w:val="auto"/>
          <w:kern w:val="2"/>
          <w:sz w:val="30"/>
          <w:szCs w:val="30"/>
          <w:lang w:eastAsia="zh-CN"/>
        </w:rPr>
        <w:t>增加</w:t>
      </w:r>
      <w:r>
        <w:rPr>
          <w:rFonts w:hint="eastAsia" w:ascii="仿宋_GB2312" w:hAnsi="仿宋_GB2312" w:eastAsia="仿宋_GB2312" w:cs="仿宋_GB2312"/>
          <w:color w:val="auto"/>
          <w:kern w:val="2"/>
          <w:sz w:val="30"/>
          <w:szCs w:val="30"/>
          <w:lang w:val="en-US" w:eastAsia="zh-CN"/>
        </w:rPr>
        <w:t>58.62万元</w:t>
      </w:r>
      <w:r>
        <w:rPr>
          <w:rFonts w:hint="eastAsia" w:ascii="仿宋_GB2312" w:hAnsi="仿宋_GB2312" w:eastAsia="仿宋_GB2312" w:cs="仿宋_GB2312"/>
          <w:color w:val="auto"/>
          <w:kern w:val="2"/>
          <w:sz w:val="30"/>
          <w:szCs w:val="30"/>
        </w:rPr>
        <w:t>，主要原因分析</w:t>
      </w:r>
      <w:r>
        <w:rPr>
          <w:rFonts w:hint="eastAsia" w:ascii="仿宋_GB2312" w:hAnsi="仿宋_GB2312" w:eastAsia="仿宋_GB2312" w:cs="仿宋_GB2312"/>
          <w:color w:val="auto"/>
          <w:kern w:val="2"/>
          <w:sz w:val="30"/>
          <w:szCs w:val="30"/>
          <w:lang w:eastAsia="zh-CN"/>
        </w:rPr>
        <w:t>：人员经费增加</w:t>
      </w:r>
      <w:r>
        <w:rPr>
          <w:rFonts w:hint="eastAsia" w:ascii="仿宋_GB2312" w:hAnsi="仿宋_GB2312" w:eastAsia="仿宋_GB2312" w:cs="仿宋_GB2312"/>
          <w:color w:val="auto"/>
          <w:kern w:val="2"/>
          <w:sz w:val="30"/>
          <w:szCs w:val="30"/>
        </w:rPr>
        <w:t>。包括基本工资、津贴补贴等人员经费</w:t>
      </w:r>
      <w:r>
        <w:rPr>
          <w:rFonts w:hint="eastAsia" w:ascii="仿宋_GB2312" w:hAnsi="仿宋_GB2312" w:eastAsia="仿宋_GB2312" w:cs="仿宋_GB2312"/>
          <w:color w:val="auto"/>
          <w:kern w:val="2"/>
          <w:sz w:val="30"/>
          <w:szCs w:val="30"/>
          <w:lang w:eastAsia="zh-CN"/>
        </w:rPr>
        <w:t>支出</w:t>
      </w:r>
      <w:r>
        <w:rPr>
          <w:rFonts w:hint="eastAsia" w:ascii="仿宋_GB2312" w:hAnsi="仿宋_GB2312" w:eastAsia="仿宋_GB2312" w:cs="仿宋_GB2312"/>
          <w:color w:val="auto"/>
          <w:kern w:val="2"/>
          <w:sz w:val="30"/>
          <w:szCs w:val="30"/>
          <w:lang w:val="en-US" w:eastAsia="zh-CN"/>
        </w:rPr>
        <w:t>1030.05万元</w:t>
      </w:r>
      <w:r>
        <w:rPr>
          <w:rFonts w:hint="eastAsia" w:ascii="仿宋_GB2312" w:hAnsi="仿宋_GB2312" w:eastAsia="仿宋_GB2312" w:cs="仿宋_GB2312"/>
          <w:color w:val="auto"/>
          <w:kern w:val="2"/>
          <w:sz w:val="30"/>
          <w:szCs w:val="30"/>
          <w:lang w:eastAsia="zh-CN"/>
        </w:rPr>
        <w:t>，</w:t>
      </w:r>
      <w:r>
        <w:rPr>
          <w:rFonts w:hint="eastAsia" w:ascii="仿宋_GB2312" w:hAnsi="仿宋_GB2312" w:eastAsia="仿宋_GB2312" w:cs="仿宋_GB2312"/>
          <w:color w:val="auto"/>
          <w:kern w:val="2"/>
          <w:sz w:val="30"/>
          <w:szCs w:val="30"/>
        </w:rPr>
        <w:t>占基本支出的</w:t>
      </w:r>
      <w:r>
        <w:rPr>
          <w:rFonts w:hint="eastAsia" w:ascii="仿宋_GB2312" w:hAnsi="仿宋_GB2312" w:eastAsia="仿宋_GB2312" w:cs="仿宋_GB2312"/>
          <w:color w:val="auto"/>
          <w:kern w:val="2"/>
          <w:sz w:val="30"/>
          <w:szCs w:val="30"/>
          <w:lang w:val="en-US" w:eastAsia="zh-CN"/>
        </w:rPr>
        <w:t>87</w:t>
      </w:r>
      <w:r>
        <w:rPr>
          <w:rFonts w:hint="eastAsia" w:ascii="仿宋_GB2312" w:hAnsi="仿宋_GB2312" w:eastAsia="仿宋_GB2312" w:cs="仿宋_GB2312"/>
          <w:color w:val="auto"/>
          <w:kern w:val="2"/>
          <w:sz w:val="30"/>
          <w:szCs w:val="30"/>
        </w:rPr>
        <w:t>.44%；办公费、印刷费、水电费、办公设备购置等日常公用经费</w:t>
      </w:r>
      <w:r>
        <w:rPr>
          <w:rFonts w:hint="eastAsia" w:ascii="仿宋_GB2312" w:hAnsi="仿宋_GB2312" w:eastAsia="仿宋_GB2312" w:cs="仿宋_GB2312"/>
          <w:color w:val="auto"/>
          <w:kern w:val="2"/>
          <w:sz w:val="30"/>
          <w:szCs w:val="30"/>
          <w:lang w:eastAsia="zh-CN"/>
        </w:rPr>
        <w:t>支出</w:t>
      </w:r>
      <w:r>
        <w:rPr>
          <w:rFonts w:hint="eastAsia" w:ascii="仿宋_GB2312" w:hAnsi="仿宋_GB2312" w:eastAsia="仿宋_GB2312" w:cs="仿宋_GB2312"/>
          <w:color w:val="auto"/>
          <w:kern w:val="2"/>
          <w:sz w:val="30"/>
          <w:szCs w:val="30"/>
          <w:lang w:val="en-US" w:eastAsia="zh-CN"/>
        </w:rPr>
        <w:t>148万元，</w:t>
      </w:r>
      <w:r>
        <w:rPr>
          <w:rFonts w:hint="eastAsia" w:ascii="仿宋_GB2312" w:hAnsi="仿宋_GB2312" w:eastAsia="仿宋_GB2312" w:cs="仿宋_GB2312"/>
          <w:color w:val="auto"/>
          <w:kern w:val="2"/>
          <w:sz w:val="30"/>
          <w:szCs w:val="30"/>
        </w:rPr>
        <w:t>占基本支出的12.56%。</w:t>
      </w:r>
    </w:p>
    <w:p>
      <w:pPr>
        <w:autoSpaceDE w:val="0"/>
        <w:autoSpaceDN w:val="0"/>
        <w:adjustRightInd w:val="0"/>
        <w:spacing w:line="590" w:lineRule="exact"/>
        <w:ind w:left="0" w:firstLine="600" w:firstLineChars="200"/>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（二）项目支出情况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2019年度用于保障昆明市石林彝族自治县人民检察院机构、下属事业单位等机构为完成特定的行政工作任务或事业发展目标，用于专项业务工作的经费支出375.63万元。与上年对比</w:t>
      </w:r>
      <w:r>
        <w:rPr>
          <w:rFonts w:hint="eastAsia" w:ascii="仿宋_GB2312" w:hAnsi="仿宋_GB2312" w:eastAsia="仿宋_GB2312" w:cs="仿宋_GB2312"/>
          <w:color w:val="auto"/>
          <w:kern w:val="2"/>
          <w:sz w:val="30"/>
          <w:szCs w:val="30"/>
          <w:lang w:eastAsia="zh-CN"/>
        </w:rPr>
        <w:t>增加</w:t>
      </w:r>
      <w:r>
        <w:rPr>
          <w:rFonts w:hint="eastAsia" w:ascii="仿宋_GB2312" w:hAnsi="仿宋_GB2312" w:eastAsia="仿宋_GB2312" w:cs="仿宋_GB2312"/>
          <w:color w:val="auto"/>
          <w:kern w:val="2"/>
          <w:sz w:val="30"/>
          <w:szCs w:val="30"/>
          <w:lang w:val="en-US" w:eastAsia="zh-CN"/>
        </w:rPr>
        <w:t>37.12万元</w:t>
      </w:r>
      <w:r>
        <w:rPr>
          <w:rFonts w:hint="eastAsia" w:ascii="仿宋_GB2312" w:hAnsi="仿宋_GB2312" w:eastAsia="仿宋_GB2312" w:cs="仿宋_GB2312"/>
          <w:color w:val="auto"/>
          <w:kern w:val="2"/>
          <w:sz w:val="30"/>
          <w:szCs w:val="30"/>
        </w:rPr>
        <w:t>，主要原因分析</w:t>
      </w:r>
      <w:r>
        <w:rPr>
          <w:rFonts w:hint="eastAsia" w:ascii="仿宋_GB2312" w:hAnsi="仿宋_GB2312" w:eastAsia="仿宋_GB2312" w:cs="仿宋_GB2312"/>
          <w:color w:val="auto"/>
          <w:kern w:val="2"/>
          <w:sz w:val="30"/>
          <w:szCs w:val="30"/>
          <w:lang w:eastAsia="zh-CN"/>
        </w:rPr>
        <w:t>：</w:t>
      </w:r>
      <w:r>
        <w:rPr>
          <w:rFonts w:hint="eastAsia" w:ascii="仿宋_GB2312" w:hAnsi="仿宋_GB2312" w:eastAsia="仿宋_GB2312" w:cs="仿宋_GB2312"/>
          <w:color w:val="auto"/>
          <w:kern w:val="2"/>
          <w:sz w:val="30"/>
          <w:szCs w:val="30"/>
          <w:lang w:val="en-US" w:eastAsia="zh-CN"/>
        </w:rPr>
        <w:t>2019年项目支出中包含结转的2018年聘用制书记员经费</w:t>
      </w:r>
      <w:r>
        <w:rPr>
          <w:rFonts w:hint="eastAsia" w:ascii="仿宋_GB2312" w:hAnsi="仿宋_GB2312" w:eastAsia="仿宋_GB2312" w:cs="仿宋_GB2312"/>
          <w:color w:val="auto"/>
          <w:kern w:val="2"/>
          <w:sz w:val="30"/>
          <w:szCs w:val="30"/>
        </w:rPr>
        <w:t>。具体项目开支及开展工作情况</w:t>
      </w:r>
      <w:r>
        <w:rPr>
          <w:rFonts w:hint="eastAsia" w:ascii="仿宋_GB2312" w:hAnsi="仿宋_GB2312" w:eastAsia="仿宋_GB2312" w:cs="仿宋_GB2312"/>
          <w:color w:val="auto"/>
          <w:kern w:val="2"/>
          <w:sz w:val="30"/>
          <w:szCs w:val="30"/>
          <w:lang w:eastAsia="zh-CN"/>
        </w:rPr>
        <w:t>：依法打击刑事犯罪、维护社会和谐稳定，强化法律监督、促进社会公平正义，推进检察业务改革、落实司法责任制。</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三、一般公共预算财政拨款支出决算情况说明</w:t>
      </w:r>
    </w:p>
    <w:p>
      <w:pPr>
        <w:autoSpaceDE w:val="0"/>
        <w:autoSpaceDN w:val="0"/>
        <w:adjustRightInd w:val="0"/>
        <w:spacing w:line="590" w:lineRule="exact"/>
        <w:ind w:left="0" w:firstLine="600" w:firstLineChars="200"/>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（一）一般公共预算财政拨款支出决算总体情况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2"/>
          <w:sz w:val="30"/>
          <w:szCs w:val="30"/>
        </w:rPr>
        <w:t>昆明市石林彝族自治县人民检察院2019年度一般公共预算财政拨款支出</w:t>
      </w:r>
      <w:r>
        <w:rPr>
          <w:rFonts w:hint="eastAsia" w:ascii="仿宋_GB2312" w:hAnsi="仿宋_GB2312" w:eastAsia="仿宋_GB2312" w:cs="仿宋_GB2312"/>
          <w:color w:val="auto"/>
          <w:kern w:val="0"/>
          <w:sz w:val="30"/>
          <w:szCs w:val="30"/>
        </w:rPr>
        <w:t>1,509.01万元,占本年支出合计的</w:t>
      </w:r>
      <w:r>
        <w:rPr>
          <w:rFonts w:hint="eastAsia" w:ascii="仿宋_GB2312" w:hAnsi="仿宋_GB2312" w:eastAsia="仿宋_GB2312" w:cs="仿宋_GB2312"/>
          <w:color w:val="auto"/>
          <w:kern w:val="2"/>
          <w:sz w:val="30"/>
          <w:szCs w:val="30"/>
        </w:rPr>
        <w:t>97.12%</w:t>
      </w:r>
      <w:r>
        <w:rPr>
          <w:rFonts w:hint="eastAsia" w:ascii="仿宋_GB2312" w:hAnsi="仿宋_GB2312" w:eastAsia="仿宋_GB2312" w:cs="仿宋_GB2312"/>
          <w:color w:val="auto"/>
          <w:kern w:val="0"/>
          <w:sz w:val="30"/>
          <w:szCs w:val="30"/>
        </w:rPr>
        <w:t>。与上年对比</w:t>
      </w:r>
      <w:r>
        <w:rPr>
          <w:rFonts w:hint="eastAsia" w:ascii="仿宋_GB2312" w:hAnsi="仿宋_GB2312" w:eastAsia="仿宋_GB2312" w:cs="仿宋_GB2312"/>
          <w:color w:val="auto"/>
          <w:kern w:val="0"/>
          <w:sz w:val="30"/>
          <w:szCs w:val="30"/>
          <w:lang w:eastAsia="zh-CN"/>
        </w:rPr>
        <w:t>增加</w:t>
      </w:r>
      <w:r>
        <w:rPr>
          <w:rFonts w:hint="eastAsia" w:ascii="仿宋_GB2312" w:hAnsi="仿宋_GB2312" w:eastAsia="仿宋_GB2312" w:cs="仿宋_GB2312"/>
          <w:color w:val="auto"/>
          <w:kern w:val="0"/>
          <w:sz w:val="30"/>
          <w:szCs w:val="30"/>
          <w:lang w:val="en-US" w:eastAsia="zh-CN"/>
        </w:rPr>
        <w:t>134.87万元，</w:t>
      </w:r>
      <w:r>
        <w:rPr>
          <w:rFonts w:hint="eastAsia" w:ascii="仿宋_GB2312" w:hAnsi="仿宋_GB2312" w:eastAsia="仿宋_GB2312" w:cs="仿宋_GB2312"/>
          <w:color w:val="auto"/>
          <w:kern w:val="2"/>
          <w:sz w:val="30"/>
          <w:szCs w:val="30"/>
        </w:rPr>
        <w:t>主要</w:t>
      </w:r>
      <w:r>
        <w:rPr>
          <w:rFonts w:hint="eastAsia" w:ascii="仿宋_GB2312" w:hAnsi="仿宋_GB2312" w:eastAsia="仿宋_GB2312" w:cs="仿宋_GB2312"/>
          <w:color w:val="auto"/>
          <w:kern w:val="0"/>
          <w:sz w:val="30"/>
          <w:szCs w:val="30"/>
        </w:rPr>
        <w:t>原因分析</w:t>
      </w:r>
      <w:r>
        <w:rPr>
          <w:rFonts w:hint="eastAsia" w:ascii="仿宋_GB2312" w:hAnsi="仿宋_GB2312" w:eastAsia="仿宋_GB2312" w:cs="仿宋_GB2312"/>
          <w:color w:val="auto"/>
          <w:kern w:val="2"/>
          <w:sz w:val="30"/>
          <w:szCs w:val="30"/>
          <w:lang w:eastAsia="zh-CN"/>
        </w:rPr>
        <w:t>：</w:t>
      </w:r>
      <w:r>
        <w:rPr>
          <w:rFonts w:hint="eastAsia" w:ascii="仿宋_GB2312" w:hAnsi="仿宋_GB2312" w:eastAsia="仿宋_GB2312" w:cs="仿宋_GB2312"/>
          <w:color w:val="auto"/>
          <w:kern w:val="2"/>
          <w:sz w:val="30"/>
          <w:szCs w:val="30"/>
          <w:lang w:val="en-US" w:eastAsia="zh-CN"/>
        </w:rPr>
        <w:t>2019年人员经费增加</w:t>
      </w:r>
      <w:r>
        <w:rPr>
          <w:rFonts w:hint="eastAsia" w:ascii="仿宋_GB2312" w:hAnsi="仿宋_GB2312" w:eastAsia="仿宋_GB2312" w:cs="仿宋_GB2312"/>
          <w:color w:val="auto"/>
          <w:kern w:val="0"/>
          <w:sz w:val="30"/>
          <w:szCs w:val="30"/>
        </w:rPr>
        <w:t>。</w:t>
      </w:r>
    </w:p>
    <w:p>
      <w:pPr>
        <w:autoSpaceDE w:val="0"/>
        <w:autoSpaceDN w:val="0"/>
        <w:adjustRightInd w:val="0"/>
        <w:spacing w:line="590" w:lineRule="exact"/>
        <w:ind w:left="0" w:firstLine="600" w:firstLineChars="200"/>
        <w:jc w:val="left"/>
        <w:rPr>
          <w:rFonts w:hint="default" w:ascii="Times New Roman" w:hAnsi="Times New Roman" w:eastAsia="仿宋" w:cs="Times New Roman"/>
          <w:color w:val="FF0000"/>
          <w:kern w:val="0"/>
          <w:sz w:val="30"/>
          <w:szCs w:val="30"/>
        </w:rPr>
      </w:pPr>
      <w:r>
        <w:rPr>
          <w:rFonts w:hint="eastAsia" w:ascii="楷体" w:hAnsi="Times New Roman" w:eastAsia="楷体" w:cs="楷体"/>
          <w:kern w:val="2"/>
          <w:sz w:val="30"/>
          <w:szCs w:val="30"/>
        </w:rPr>
        <w:t>（二）一般公共预算财政拨款支出决算具体情况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1</w:t>
      </w:r>
      <w:r>
        <w:rPr>
          <w:rFonts w:hint="eastAsia" w:ascii="仿宋_GB2312" w:hAnsi="仿宋_GB2312" w:eastAsia="仿宋_GB2312" w:cs="仿宋_GB2312"/>
          <w:color w:val="auto"/>
          <w:kern w:val="0"/>
          <w:sz w:val="30"/>
          <w:szCs w:val="30"/>
        </w:rPr>
        <w:t>.公共安全（类）支出1,294.04万元，占一般公共预算财政拨款总支出的85.75%。主要用于</w:t>
      </w:r>
      <w:r>
        <w:rPr>
          <w:rFonts w:hint="eastAsia" w:ascii="仿宋_GB2312" w:hAnsi="仿宋_GB2312" w:eastAsia="仿宋_GB2312" w:cs="仿宋_GB2312"/>
          <w:color w:val="auto"/>
          <w:kern w:val="0"/>
          <w:sz w:val="30"/>
          <w:szCs w:val="30"/>
          <w:lang w:eastAsia="zh-CN"/>
        </w:rPr>
        <w:t>：行政运行支出</w:t>
      </w:r>
      <w:r>
        <w:rPr>
          <w:rFonts w:hint="eastAsia" w:ascii="仿宋_GB2312" w:hAnsi="仿宋_GB2312" w:eastAsia="仿宋_GB2312" w:cs="仿宋_GB2312"/>
          <w:color w:val="auto"/>
          <w:kern w:val="0"/>
          <w:sz w:val="30"/>
          <w:szCs w:val="30"/>
          <w:lang w:val="en-US" w:eastAsia="zh-CN"/>
        </w:rPr>
        <w:t>912.73万元，检察监督支出85万元，其他检察支出296.31万元；</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2</w:t>
      </w:r>
      <w:r>
        <w:rPr>
          <w:rFonts w:hint="eastAsia" w:ascii="仿宋_GB2312" w:hAnsi="仿宋_GB2312" w:eastAsia="仿宋_GB2312" w:cs="仿宋_GB2312"/>
          <w:color w:val="auto"/>
          <w:kern w:val="0"/>
          <w:sz w:val="30"/>
          <w:szCs w:val="30"/>
        </w:rPr>
        <w:t>.社会保障和就业（类）支出88.68万元，占一般公共预算财政拨款总支出的5.88%。主要用于</w:t>
      </w:r>
      <w:r>
        <w:rPr>
          <w:rFonts w:hint="eastAsia" w:ascii="仿宋_GB2312" w:hAnsi="仿宋_GB2312" w:eastAsia="仿宋_GB2312" w:cs="仿宋_GB2312"/>
          <w:color w:val="auto"/>
          <w:kern w:val="0"/>
          <w:sz w:val="30"/>
          <w:szCs w:val="30"/>
          <w:lang w:eastAsia="zh-CN"/>
        </w:rPr>
        <w:t>：机关事业单位基本养老保险缴费支出</w:t>
      </w:r>
      <w:r>
        <w:rPr>
          <w:rFonts w:hint="eastAsia" w:ascii="仿宋_GB2312" w:hAnsi="仿宋_GB2312" w:eastAsia="仿宋_GB2312" w:cs="仿宋_GB2312"/>
          <w:color w:val="auto"/>
          <w:kern w:val="0"/>
          <w:sz w:val="30"/>
          <w:szCs w:val="30"/>
          <w:lang w:val="en-US" w:eastAsia="zh-CN"/>
        </w:rPr>
        <w:t>87.37万元，机关事业单位职业年金缴费支出1.31万元</w:t>
      </w:r>
      <w:r>
        <w:rPr>
          <w:rFonts w:hint="eastAsia" w:ascii="仿宋_GB2312" w:hAnsi="仿宋_GB2312" w:eastAsia="仿宋_GB2312" w:cs="仿宋_GB2312"/>
          <w:color w:val="auto"/>
          <w:kern w:val="0"/>
          <w:sz w:val="30"/>
          <w:szCs w:val="30"/>
        </w:rPr>
        <w:t>；</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3</w:t>
      </w:r>
      <w:r>
        <w:rPr>
          <w:rFonts w:hint="eastAsia" w:ascii="仿宋_GB2312" w:hAnsi="仿宋_GB2312" w:eastAsia="仿宋_GB2312" w:cs="仿宋_GB2312"/>
          <w:color w:val="auto"/>
          <w:kern w:val="0"/>
          <w:sz w:val="30"/>
          <w:szCs w:val="30"/>
        </w:rPr>
        <w:t>.卫生健康（类）支出61.71万元，占一般公共预算财政拨款总支出的4.09%。主要用于</w:t>
      </w:r>
      <w:r>
        <w:rPr>
          <w:rFonts w:hint="eastAsia" w:ascii="仿宋_GB2312" w:hAnsi="仿宋_GB2312" w:eastAsia="仿宋_GB2312" w:cs="仿宋_GB2312"/>
          <w:color w:val="auto"/>
          <w:kern w:val="0"/>
          <w:sz w:val="30"/>
          <w:szCs w:val="30"/>
          <w:lang w:eastAsia="zh-CN"/>
        </w:rPr>
        <w:t>：行政单位医疗</w:t>
      </w:r>
      <w:r>
        <w:rPr>
          <w:rFonts w:hint="eastAsia" w:ascii="仿宋_GB2312" w:hAnsi="仿宋_GB2312" w:eastAsia="仿宋_GB2312" w:cs="仿宋_GB2312"/>
          <w:color w:val="auto"/>
          <w:kern w:val="0"/>
          <w:sz w:val="30"/>
          <w:szCs w:val="30"/>
          <w:lang w:val="en-US" w:eastAsia="zh-CN"/>
        </w:rPr>
        <w:t>42.57万元，公务员医疗补助17.2万元，其他行政事业单位医疗支出1.94万元</w:t>
      </w:r>
      <w:r>
        <w:rPr>
          <w:rFonts w:hint="eastAsia" w:ascii="仿宋_GB2312" w:hAnsi="仿宋_GB2312" w:eastAsia="仿宋_GB2312" w:cs="仿宋_GB2312"/>
          <w:color w:val="auto"/>
          <w:kern w:val="0"/>
          <w:sz w:val="30"/>
          <w:szCs w:val="30"/>
        </w:rPr>
        <w:t>；</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4</w:t>
      </w:r>
      <w:r>
        <w:rPr>
          <w:rFonts w:hint="eastAsia" w:ascii="仿宋_GB2312" w:hAnsi="仿宋_GB2312" w:eastAsia="仿宋_GB2312" w:cs="仿宋_GB2312"/>
          <w:color w:val="auto"/>
          <w:kern w:val="0"/>
          <w:sz w:val="30"/>
          <w:szCs w:val="30"/>
        </w:rPr>
        <w:t>.住房保障（类）支出64.58万元，占一般公共预算财政拨款总支出的4.28%。主要用于</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2"/>
          <w:sz w:val="30"/>
          <w:szCs w:val="30"/>
          <w:lang w:eastAsia="zh-CN"/>
        </w:rPr>
        <w:t>住房公积金支出</w:t>
      </w:r>
      <w:r>
        <w:rPr>
          <w:rFonts w:hint="eastAsia" w:ascii="仿宋_GB2312" w:hAnsi="仿宋_GB2312" w:eastAsia="仿宋_GB2312" w:cs="仿宋_GB2312"/>
          <w:color w:val="auto"/>
          <w:kern w:val="2"/>
          <w:sz w:val="30"/>
          <w:szCs w:val="30"/>
          <w:lang w:val="en-US" w:eastAsia="zh-CN"/>
        </w:rPr>
        <w:t>64.58万元。</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四、一般公共预算财政拨款</w:t>
      </w:r>
      <w:r>
        <w:rPr>
          <w:rFonts w:hint="default" w:ascii="Times New Roman" w:hAnsi="Times New Roman" w:eastAsia="黑体" w:cs="Times New Roman"/>
          <w:kern w:val="2"/>
          <w:sz w:val="30"/>
          <w:szCs w:val="30"/>
        </w:rPr>
        <w:t>“</w:t>
      </w:r>
      <w:r>
        <w:rPr>
          <w:rFonts w:hint="eastAsia" w:ascii="黑体" w:hAnsi="Times New Roman" w:eastAsia="黑体" w:cs="黑体"/>
          <w:kern w:val="2"/>
          <w:sz w:val="30"/>
          <w:szCs w:val="30"/>
        </w:rPr>
        <w:t>三公</w:t>
      </w:r>
      <w:r>
        <w:rPr>
          <w:rFonts w:hint="default" w:ascii="Times New Roman" w:hAnsi="Times New Roman" w:eastAsia="黑体" w:cs="Times New Roman"/>
          <w:kern w:val="2"/>
          <w:sz w:val="30"/>
          <w:szCs w:val="30"/>
        </w:rPr>
        <w:t>”</w:t>
      </w:r>
      <w:r>
        <w:rPr>
          <w:rFonts w:hint="eastAsia" w:ascii="黑体" w:hAnsi="Times New Roman" w:eastAsia="黑体" w:cs="黑体"/>
          <w:kern w:val="2"/>
          <w:sz w:val="30"/>
          <w:szCs w:val="30"/>
        </w:rPr>
        <w:t>经费支出决算情况说明</w:t>
      </w:r>
    </w:p>
    <w:p>
      <w:pPr>
        <w:autoSpaceDE w:val="0"/>
        <w:autoSpaceDN w:val="0"/>
        <w:adjustRightInd w:val="0"/>
        <w:spacing w:line="590" w:lineRule="exact"/>
        <w:ind w:left="0" w:firstLine="600" w:firstLineChars="200"/>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(一)一般公共预算财政拨款</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三公</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经费支出决算总体情况</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昆明市石林彝族自治县人民检察院2019年度一般公共预算财政拨款“三公”经费支出预算为</w:t>
      </w:r>
      <w:r>
        <w:rPr>
          <w:rFonts w:hint="eastAsia" w:ascii="仿宋_GB2312" w:hAnsi="仿宋_GB2312" w:eastAsia="仿宋_GB2312" w:cs="仿宋_GB2312"/>
          <w:color w:val="auto"/>
          <w:kern w:val="2"/>
          <w:sz w:val="30"/>
          <w:szCs w:val="30"/>
          <w:lang w:val="en-US" w:eastAsia="zh-CN"/>
        </w:rPr>
        <w:t>28.42</w:t>
      </w:r>
      <w:r>
        <w:rPr>
          <w:rFonts w:hint="eastAsia" w:ascii="仿宋_GB2312" w:hAnsi="仿宋_GB2312" w:eastAsia="仿宋_GB2312" w:cs="仿宋_GB2312"/>
          <w:color w:val="auto"/>
          <w:kern w:val="2"/>
          <w:sz w:val="30"/>
          <w:szCs w:val="30"/>
        </w:rPr>
        <w:t>万元，支出决算为18.37万元，完成预算的</w:t>
      </w:r>
      <w:r>
        <w:rPr>
          <w:rFonts w:hint="eastAsia" w:ascii="仿宋_GB2312" w:hAnsi="仿宋_GB2312" w:eastAsia="仿宋_GB2312" w:cs="仿宋_GB2312"/>
          <w:color w:val="auto"/>
          <w:kern w:val="2"/>
          <w:sz w:val="30"/>
          <w:szCs w:val="30"/>
          <w:lang w:val="en-US" w:eastAsia="zh-CN"/>
        </w:rPr>
        <w:t>64.64</w:t>
      </w:r>
      <w:r>
        <w:rPr>
          <w:rFonts w:hint="eastAsia" w:ascii="仿宋_GB2312" w:hAnsi="仿宋_GB2312" w:eastAsia="仿宋_GB2312" w:cs="仿宋_GB2312"/>
          <w:color w:val="auto"/>
          <w:kern w:val="2"/>
          <w:sz w:val="30"/>
          <w:szCs w:val="30"/>
        </w:rPr>
        <w:t>%。其中：因公出国（境）费支出决算为</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万元，完成预算的</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%；公务用车购置及运行费支出决算为9.77万元，完成预算的</w:t>
      </w:r>
      <w:r>
        <w:rPr>
          <w:rFonts w:hint="eastAsia" w:ascii="仿宋_GB2312" w:hAnsi="仿宋_GB2312" w:eastAsia="仿宋_GB2312" w:cs="仿宋_GB2312"/>
          <w:color w:val="auto"/>
          <w:kern w:val="2"/>
          <w:sz w:val="30"/>
          <w:szCs w:val="30"/>
          <w:lang w:val="en-US" w:eastAsia="zh-CN"/>
        </w:rPr>
        <w:t>57.1</w:t>
      </w:r>
      <w:r>
        <w:rPr>
          <w:rFonts w:hint="eastAsia" w:ascii="仿宋_GB2312" w:hAnsi="仿宋_GB2312" w:eastAsia="仿宋_GB2312" w:cs="仿宋_GB2312"/>
          <w:color w:val="auto"/>
          <w:kern w:val="2"/>
          <w:sz w:val="30"/>
          <w:szCs w:val="30"/>
        </w:rPr>
        <w:t>%；公务接待费支出决算为8.59万元，完成预算的</w:t>
      </w:r>
      <w:r>
        <w:rPr>
          <w:rFonts w:hint="eastAsia" w:ascii="仿宋_GB2312" w:hAnsi="仿宋_GB2312" w:eastAsia="仿宋_GB2312" w:cs="仿宋_GB2312"/>
          <w:color w:val="auto"/>
          <w:kern w:val="2"/>
          <w:sz w:val="30"/>
          <w:szCs w:val="30"/>
          <w:lang w:val="en-US" w:eastAsia="zh-CN"/>
        </w:rPr>
        <w:t>75.95</w:t>
      </w:r>
      <w:r>
        <w:rPr>
          <w:rFonts w:hint="eastAsia" w:ascii="仿宋_GB2312" w:hAnsi="仿宋_GB2312" w:eastAsia="仿宋_GB2312" w:cs="仿宋_GB2312"/>
          <w:color w:val="auto"/>
          <w:kern w:val="2"/>
          <w:sz w:val="30"/>
          <w:szCs w:val="30"/>
        </w:rPr>
        <w:t>%。2019年度一般公共预算财政拨款“三公”经费支出决算数小于预算数的主要原因</w:t>
      </w:r>
      <w:r>
        <w:rPr>
          <w:rFonts w:hint="eastAsia" w:ascii="仿宋_GB2312" w:hAnsi="仿宋_GB2312" w:eastAsia="仿宋_GB2312" w:cs="仿宋_GB2312"/>
          <w:color w:val="auto"/>
          <w:kern w:val="2"/>
          <w:sz w:val="30"/>
          <w:szCs w:val="30"/>
          <w:lang w:eastAsia="zh-CN"/>
        </w:rPr>
        <w:t>是：我单位继续贯彻落实中央八项规定，本着厉行节约原则，严格控制公务用车运行费用，公务接待严格按接待标准及人次执行</w:t>
      </w:r>
      <w:r>
        <w:rPr>
          <w:rFonts w:hint="eastAsia" w:ascii="仿宋_GB2312" w:hAnsi="仿宋_GB2312" w:eastAsia="仿宋_GB2312" w:cs="仿宋_GB2312"/>
          <w:color w:val="auto"/>
          <w:kern w:val="2"/>
          <w:sz w:val="30"/>
          <w:szCs w:val="30"/>
        </w:rPr>
        <w:t>。</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2019年度一般公共预算财政拨款“三公”经费支出决算数比2018年减少1.13万元，下降5.79%。其中：公务用车购置及运行费支出决算减少0.20万元，下降2.00%；公务接待费支出决算减少0.93万元，下降9.77%。2019年度一般公共预算财政拨款“三公”经费支出决算减少的主要原因</w:t>
      </w:r>
      <w:r>
        <w:rPr>
          <w:rFonts w:hint="eastAsia" w:ascii="仿宋_GB2312" w:hAnsi="仿宋_GB2312" w:eastAsia="仿宋_GB2312" w:cs="仿宋_GB2312"/>
          <w:color w:val="auto"/>
          <w:kern w:val="2"/>
          <w:sz w:val="30"/>
          <w:szCs w:val="30"/>
          <w:lang w:eastAsia="zh-CN"/>
        </w:rPr>
        <w:t>是：</w:t>
      </w:r>
      <w:r>
        <w:rPr>
          <w:rFonts w:hint="eastAsia" w:ascii="仿宋_GB2312" w:hAnsi="仿宋_GB2312" w:eastAsia="仿宋_GB2312" w:cs="仿宋_GB2312"/>
          <w:color w:val="auto"/>
          <w:kern w:val="2"/>
          <w:sz w:val="30"/>
          <w:szCs w:val="30"/>
          <w:lang w:eastAsia="zh-CN"/>
        </w:rPr>
        <w:t>我单位继续贯彻落实中央八项规定，本着厉行节约原则，严格控制公务用车运行费用，公务接待严格按接待标准及人次执行</w:t>
      </w:r>
      <w:r>
        <w:rPr>
          <w:rFonts w:hint="eastAsia" w:ascii="仿宋_GB2312" w:hAnsi="仿宋_GB2312" w:eastAsia="仿宋_GB2312" w:cs="仿宋_GB2312"/>
          <w:color w:val="auto"/>
          <w:kern w:val="2"/>
          <w:sz w:val="30"/>
          <w:szCs w:val="30"/>
        </w:rPr>
        <w:t>。</w:t>
      </w:r>
    </w:p>
    <w:p>
      <w:pPr>
        <w:autoSpaceDE w:val="0"/>
        <w:autoSpaceDN w:val="0"/>
        <w:adjustRightInd w:val="0"/>
        <w:spacing w:line="590" w:lineRule="exact"/>
        <w:ind w:left="0" w:firstLine="600" w:firstLineChars="200"/>
        <w:jc w:val="left"/>
        <w:rPr>
          <w:rFonts w:hint="default" w:ascii="Times New Roman" w:hAnsi="Times New Roman" w:eastAsia="楷体" w:cs="Times New Roman"/>
          <w:kern w:val="2"/>
          <w:sz w:val="30"/>
          <w:szCs w:val="30"/>
        </w:rPr>
      </w:pPr>
      <w:r>
        <w:rPr>
          <w:rFonts w:hint="eastAsia" w:ascii="楷体" w:hAnsi="Times New Roman" w:eastAsia="楷体" w:cs="楷体"/>
          <w:kern w:val="2"/>
          <w:sz w:val="30"/>
          <w:szCs w:val="30"/>
        </w:rPr>
        <w:t>(二)一般公共预算财政拨款</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三公</w:t>
      </w:r>
      <w:r>
        <w:rPr>
          <w:rFonts w:hint="default" w:ascii="Times New Roman" w:hAnsi="Times New Roman" w:eastAsia="楷体" w:cs="Times New Roman"/>
          <w:kern w:val="2"/>
          <w:sz w:val="30"/>
          <w:szCs w:val="30"/>
        </w:rPr>
        <w:t>”</w:t>
      </w:r>
      <w:r>
        <w:rPr>
          <w:rFonts w:hint="eastAsia" w:ascii="楷体" w:hAnsi="Times New Roman" w:eastAsia="楷体" w:cs="楷体"/>
          <w:kern w:val="2"/>
          <w:sz w:val="30"/>
          <w:szCs w:val="30"/>
        </w:rPr>
        <w:t>经费支出决算具体情况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2019年度一般公共预算财政拨款“三公”经费支出决算中，因公出国（境）费支出0.00万元，占0.00%；公务用车购置及运行维护费支出9.77万元，占53.22%；公务接待费支出8.59万元，占46.78%。具体情况如下：</w:t>
      </w:r>
    </w:p>
    <w:p>
      <w:pPr>
        <w:autoSpaceDE w:val="0"/>
        <w:autoSpaceDN w:val="0"/>
        <w:adjustRightInd w:val="0"/>
        <w:spacing w:line="590" w:lineRule="exact"/>
        <w:ind w:left="0" w:firstLine="602" w:firstLineChars="200"/>
        <w:rPr>
          <w:rFonts w:hint="eastAsia" w:ascii="仿宋_GB2312" w:hAnsi="仿宋_GB2312" w:eastAsia="仿宋_GB2312" w:cs="仿宋_GB2312"/>
          <w:color w:val="FF0000"/>
          <w:kern w:val="2"/>
          <w:sz w:val="30"/>
          <w:szCs w:val="30"/>
        </w:rPr>
      </w:pPr>
      <w:r>
        <w:rPr>
          <w:rFonts w:hint="eastAsia" w:ascii="仿宋_GB2312" w:hAnsi="仿宋_GB2312" w:eastAsia="仿宋_GB2312" w:cs="仿宋_GB2312"/>
          <w:b/>
          <w:kern w:val="2"/>
          <w:sz w:val="30"/>
          <w:szCs w:val="30"/>
        </w:rPr>
        <w:t>1.因公出国（境）费</w:t>
      </w:r>
      <w:r>
        <w:rPr>
          <w:rFonts w:hint="eastAsia" w:ascii="仿宋_GB2312" w:hAnsi="仿宋_GB2312" w:eastAsia="仿宋_GB2312" w:cs="仿宋_GB2312"/>
          <w:kern w:val="2"/>
          <w:sz w:val="30"/>
          <w:szCs w:val="30"/>
        </w:rPr>
        <w:t>支出</w:t>
      </w:r>
      <w:r>
        <w:rPr>
          <w:rFonts w:hint="eastAsia" w:ascii="仿宋_GB2312" w:hAnsi="仿宋_GB2312" w:eastAsia="仿宋_GB2312" w:cs="仿宋_GB2312"/>
          <w:kern w:val="2"/>
          <w:sz w:val="30"/>
          <w:szCs w:val="30"/>
          <w:lang w:val="en-US" w:eastAsia="zh-CN"/>
        </w:rPr>
        <w:t>0</w:t>
      </w:r>
      <w:r>
        <w:rPr>
          <w:rFonts w:hint="eastAsia" w:ascii="仿宋_GB2312" w:hAnsi="仿宋_GB2312" w:eastAsia="仿宋_GB2312" w:cs="仿宋_GB2312"/>
          <w:kern w:val="2"/>
          <w:sz w:val="30"/>
          <w:szCs w:val="30"/>
        </w:rPr>
        <w:t>万元，共安排因公出国（境）团组0个，累计0人次。</w:t>
      </w:r>
    </w:p>
    <w:p>
      <w:pPr>
        <w:autoSpaceDE w:val="0"/>
        <w:autoSpaceDN w:val="0"/>
        <w:adjustRightInd w:val="0"/>
        <w:spacing w:line="590" w:lineRule="exact"/>
        <w:ind w:left="0" w:firstLine="602"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b/>
          <w:kern w:val="2"/>
          <w:sz w:val="30"/>
          <w:szCs w:val="30"/>
        </w:rPr>
        <w:t>2.公务用车购置及运行维护费</w:t>
      </w:r>
      <w:r>
        <w:rPr>
          <w:rFonts w:hint="eastAsia" w:ascii="仿宋_GB2312" w:hAnsi="仿宋_GB2312" w:eastAsia="仿宋_GB2312" w:cs="仿宋_GB2312"/>
          <w:kern w:val="2"/>
          <w:sz w:val="30"/>
          <w:szCs w:val="30"/>
        </w:rPr>
        <w:t>支出9.77万元。其中：</w:t>
      </w:r>
    </w:p>
    <w:p>
      <w:pPr>
        <w:autoSpaceDE w:val="0"/>
        <w:autoSpaceDN w:val="0"/>
        <w:adjustRightInd w:val="0"/>
        <w:spacing w:line="590" w:lineRule="exact"/>
        <w:ind w:left="0" w:firstLine="602" w:firstLineChars="200"/>
        <w:rPr>
          <w:rFonts w:hint="eastAsia" w:ascii="仿宋_GB2312" w:hAnsi="仿宋_GB2312" w:eastAsia="仿宋_GB2312" w:cs="仿宋_GB2312"/>
          <w:color w:val="FF0000"/>
          <w:kern w:val="2"/>
          <w:sz w:val="30"/>
          <w:szCs w:val="30"/>
        </w:rPr>
      </w:pPr>
      <w:r>
        <w:rPr>
          <w:rFonts w:hint="eastAsia" w:ascii="仿宋_GB2312" w:hAnsi="仿宋_GB2312" w:eastAsia="仿宋_GB2312" w:cs="仿宋_GB2312"/>
          <w:b/>
          <w:kern w:val="2"/>
          <w:sz w:val="30"/>
          <w:szCs w:val="30"/>
        </w:rPr>
        <w:t>公务用车购置</w:t>
      </w:r>
      <w:r>
        <w:rPr>
          <w:rFonts w:hint="eastAsia" w:ascii="仿宋_GB2312" w:hAnsi="仿宋_GB2312" w:eastAsia="仿宋_GB2312" w:cs="仿宋_GB2312"/>
          <w:kern w:val="2"/>
          <w:sz w:val="30"/>
          <w:szCs w:val="30"/>
        </w:rPr>
        <w:t>支出</w:t>
      </w:r>
      <w:r>
        <w:rPr>
          <w:rFonts w:hint="eastAsia" w:ascii="仿宋_GB2312" w:hAnsi="仿宋_GB2312" w:eastAsia="仿宋_GB2312" w:cs="仿宋_GB2312"/>
          <w:kern w:val="2"/>
          <w:sz w:val="30"/>
          <w:szCs w:val="30"/>
          <w:lang w:val="en-US" w:eastAsia="zh-CN"/>
        </w:rPr>
        <w:t>0</w:t>
      </w:r>
      <w:r>
        <w:rPr>
          <w:rFonts w:hint="eastAsia" w:ascii="仿宋_GB2312" w:hAnsi="仿宋_GB2312" w:eastAsia="仿宋_GB2312" w:cs="仿宋_GB2312"/>
          <w:kern w:val="2"/>
          <w:sz w:val="30"/>
          <w:szCs w:val="30"/>
        </w:rPr>
        <w:t>万元，购置车辆0辆。</w:t>
      </w:r>
    </w:p>
    <w:p>
      <w:pPr>
        <w:autoSpaceDE w:val="0"/>
        <w:autoSpaceDN w:val="0"/>
        <w:adjustRightInd w:val="0"/>
        <w:spacing w:line="590" w:lineRule="exact"/>
        <w:ind w:left="0" w:firstLine="602"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b/>
          <w:kern w:val="2"/>
          <w:sz w:val="30"/>
          <w:szCs w:val="30"/>
        </w:rPr>
        <w:t>公务用车运行维护</w:t>
      </w:r>
      <w:r>
        <w:rPr>
          <w:rFonts w:hint="eastAsia" w:ascii="仿宋_GB2312" w:hAnsi="仿宋_GB2312" w:eastAsia="仿宋_GB2312" w:cs="仿宋_GB2312"/>
          <w:kern w:val="2"/>
          <w:sz w:val="30"/>
          <w:szCs w:val="30"/>
        </w:rPr>
        <w:t>支出9.77万元，开支财政拨款的公务用车保有量为9辆。主要用于</w:t>
      </w:r>
      <w:r>
        <w:rPr>
          <w:rFonts w:hint="eastAsia" w:ascii="仿宋_GB2312" w:hAnsi="仿宋_GB2312" w:eastAsia="仿宋_GB2312" w:cs="仿宋_GB2312"/>
          <w:kern w:val="2"/>
          <w:sz w:val="30"/>
          <w:szCs w:val="30"/>
          <w:lang w:eastAsia="zh-CN"/>
        </w:rPr>
        <w:t>办案、执行公务</w:t>
      </w:r>
      <w:r>
        <w:rPr>
          <w:rFonts w:hint="eastAsia" w:ascii="仿宋_GB2312" w:hAnsi="仿宋_GB2312" w:eastAsia="仿宋_GB2312" w:cs="仿宋_GB2312"/>
          <w:kern w:val="2"/>
          <w:sz w:val="30"/>
          <w:szCs w:val="30"/>
        </w:rPr>
        <w:t>所需车辆燃料费、维修费、过路过桥费、保险费等。</w:t>
      </w:r>
    </w:p>
    <w:p>
      <w:pPr>
        <w:autoSpaceDE w:val="0"/>
        <w:autoSpaceDN w:val="0"/>
        <w:adjustRightInd w:val="0"/>
        <w:spacing w:line="590" w:lineRule="exact"/>
        <w:ind w:left="0" w:firstLine="602"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b/>
          <w:kern w:val="2"/>
          <w:sz w:val="30"/>
          <w:szCs w:val="30"/>
        </w:rPr>
        <w:t>3.公务接待费</w:t>
      </w:r>
      <w:r>
        <w:rPr>
          <w:rFonts w:hint="eastAsia" w:ascii="仿宋_GB2312" w:hAnsi="仿宋_GB2312" w:eastAsia="仿宋_GB2312" w:cs="仿宋_GB2312"/>
          <w:kern w:val="2"/>
          <w:sz w:val="30"/>
          <w:szCs w:val="30"/>
        </w:rPr>
        <w:t>支出8.59万元。其中：</w:t>
      </w:r>
    </w:p>
    <w:p>
      <w:pPr>
        <w:autoSpaceDE w:val="0"/>
        <w:autoSpaceDN w:val="0"/>
        <w:adjustRightInd w:val="0"/>
        <w:spacing w:line="590" w:lineRule="exact"/>
        <w:ind w:left="0" w:firstLine="602" w:firstLineChars="200"/>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b/>
          <w:kern w:val="2"/>
          <w:sz w:val="30"/>
          <w:szCs w:val="30"/>
        </w:rPr>
        <w:t>国内接待费</w:t>
      </w:r>
      <w:r>
        <w:rPr>
          <w:rFonts w:hint="eastAsia" w:ascii="仿宋_GB2312" w:hAnsi="仿宋_GB2312" w:eastAsia="仿宋_GB2312" w:cs="仿宋_GB2312"/>
          <w:kern w:val="2"/>
          <w:sz w:val="30"/>
          <w:szCs w:val="30"/>
        </w:rPr>
        <w:t>支出8.59万元（其中：外事接待费支出</w:t>
      </w:r>
      <w:r>
        <w:rPr>
          <w:rFonts w:hint="eastAsia" w:ascii="仿宋_GB2312" w:hAnsi="仿宋_GB2312" w:eastAsia="仿宋_GB2312" w:cs="仿宋_GB2312"/>
          <w:kern w:val="2"/>
          <w:sz w:val="30"/>
          <w:szCs w:val="30"/>
          <w:lang w:val="en-US" w:eastAsia="zh-CN"/>
        </w:rPr>
        <w:t>0</w:t>
      </w:r>
      <w:r>
        <w:rPr>
          <w:rFonts w:hint="eastAsia" w:ascii="仿宋_GB2312" w:hAnsi="仿宋_GB2312" w:eastAsia="仿宋_GB2312" w:cs="仿宋_GB2312"/>
          <w:kern w:val="2"/>
          <w:sz w:val="30"/>
          <w:szCs w:val="30"/>
        </w:rPr>
        <w:t>万元），共安排国内公务接待110批次（其中：外事接待0批次），接待人次1,430人（其中：外事接待人次0人）。</w:t>
      </w:r>
      <w:r>
        <w:rPr>
          <w:rFonts w:hint="eastAsia" w:ascii="仿宋_GB2312" w:hAnsi="仿宋_GB2312" w:eastAsia="仿宋_GB2312" w:cs="仿宋_GB2312"/>
          <w:color w:val="auto"/>
          <w:kern w:val="2"/>
          <w:sz w:val="30"/>
          <w:szCs w:val="30"/>
        </w:rPr>
        <w:t>主要用于</w:t>
      </w:r>
      <w:r>
        <w:rPr>
          <w:rFonts w:hint="eastAsia" w:ascii="仿宋_GB2312" w:hAnsi="仿宋_GB2312" w:eastAsia="仿宋_GB2312" w:cs="仿宋_GB2312"/>
          <w:color w:val="auto"/>
          <w:kern w:val="2"/>
          <w:sz w:val="30"/>
          <w:szCs w:val="30"/>
          <w:lang w:eastAsia="zh-CN"/>
        </w:rPr>
        <w:t>办案、执行公务</w:t>
      </w:r>
      <w:r>
        <w:rPr>
          <w:rFonts w:hint="eastAsia" w:ascii="仿宋_GB2312" w:hAnsi="仿宋_GB2312" w:eastAsia="仿宋_GB2312" w:cs="仿宋_GB2312"/>
          <w:color w:val="auto"/>
          <w:kern w:val="2"/>
          <w:sz w:val="30"/>
          <w:szCs w:val="30"/>
        </w:rPr>
        <w:t>发生的接待支出。</w:t>
      </w:r>
    </w:p>
    <w:p>
      <w:pPr>
        <w:autoSpaceDE w:val="0"/>
        <w:autoSpaceDN w:val="0"/>
        <w:adjustRightInd w:val="0"/>
        <w:spacing w:line="590" w:lineRule="exact"/>
        <w:ind w:left="0" w:firstLine="602" w:firstLineChars="200"/>
        <w:rPr>
          <w:rFonts w:hint="eastAsia" w:ascii="仿宋_GB2312" w:hAnsi="仿宋_GB2312" w:eastAsia="仿宋_GB2312" w:cs="仿宋_GB2312"/>
          <w:kern w:val="2"/>
          <w:sz w:val="30"/>
          <w:szCs w:val="30"/>
        </w:rPr>
      </w:pPr>
      <w:r>
        <w:rPr>
          <w:rFonts w:hint="eastAsia" w:ascii="仿宋_GB2312" w:hAnsi="仿宋_GB2312" w:eastAsia="仿宋_GB2312" w:cs="仿宋_GB2312"/>
          <w:b/>
          <w:kern w:val="2"/>
          <w:sz w:val="30"/>
          <w:szCs w:val="30"/>
        </w:rPr>
        <w:t>国（境）外接待费</w:t>
      </w:r>
      <w:r>
        <w:rPr>
          <w:rFonts w:hint="eastAsia" w:ascii="仿宋_GB2312" w:hAnsi="仿宋_GB2312" w:eastAsia="仿宋_GB2312" w:cs="仿宋_GB2312"/>
          <w:kern w:val="2"/>
          <w:sz w:val="30"/>
          <w:szCs w:val="30"/>
        </w:rPr>
        <w:t>支出</w:t>
      </w:r>
      <w:r>
        <w:rPr>
          <w:rFonts w:hint="eastAsia" w:ascii="仿宋_GB2312" w:hAnsi="仿宋_GB2312" w:eastAsia="仿宋_GB2312" w:cs="仿宋_GB2312"/>
          <w:kern w:val="2"/>
          <w:sz w:val="30"/>
          <w:szCs w:val="30"/>
          <w:lang w:val="en-US" w:eastAsia="zh-CN"/>
        </w:rPr>
        <w:t>0</w:t>
      </w:r>
      <w:r>
        <w:rPr>
          <w:rFonts w:hint="eastAsia" w:ascii="仿宋_GB2312" w:hAnsi="仿宋_GB2312" w:eastAsia="仿宋_GB2312" w:cs="仿宋_GB2312"/>
          <w:kern w:val="2"/>
          <w:sz w:val="30"/>
          <w:szCs w:val="30"/>
        </w:rPr>
        <w:t>万元，共安排国（境）外公务接待0批次，接待人次0人。</w:t>
      </w:r>
    </w:p>
    <w:p>
      <w:pPr>
        <w:autoSpaceDE w:val="0"/>
        <w:autoSpaceDN w:val="0"/>
        <w:adjustRightInd w:val="0"/>
        <w:spacing w:line="590" w:lineRule="exact"/>
        <w:ind w:left="0" w:firstLine="602" w:firstLineChars="200"/>
        <w:rPr>
          <w:rFonts w:hint="eastAsia" w:ascii="仿宋_GB2312" w:hAnsi="仿宋_GB2312" w:eastAsia="仿宋_GB2312" w:cs="仿宋_GB2312"/>
          <w:kern w:val="2"/>
          <w:sz w:val="30"/>
          <w:szCs w:val="30"/>
        </w:rPr>
      </w:pPr>
    </w:p>
    <w:p>
      <w:pPr>
        <w:autoSpaceDE w:val="0"/>
        <w:autoSpaceDN w:val="0"/>
        <w:adjustRightInd w:val="0"/>
        <w:spacing w:line="590" w:lineRule="exact"/>
        <w:ind w:left="0" w:firstLine="640"/>
        <w:jc w:val="center"/>
        <w:rPr>
          <w:rFonts w:hint="default" w:ascii="Times New Roman" w:hAnsi="Times New Roman" w:eastAsia="黑体" w:cs="Times New Roman"/>
          <w:kern w:val="2"/>
          <w:sz w:val="32"/>
          <w:szCs w:val="32"/>
        </w:rPr>
      </w:pPr>
      <w:r>
        <w:rPr>
          <w:rFonts w:hint="eastAsia" w:ascii="黑体" w:hAnsi="Times New Roman" w:eastAsia="黑体" w:cs="黑体"/>
          <w:kern w:val="2"/>
          <w:sz w:val="32"/>
          <w:szCs w:val="32"/>
        </w:rPr>
        <w:t>第四部分  其他重要事项及相关口径情况说明</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一、机关运行经费支出情况</w:t>
      </w:r>
    </w:p>
    <w:p>
      <w:pPr>
        <w:autoSpaceDE w:val="0"/>
        <w:autoSpaceDN w:val="0"/>
        <w:adjustRightInd w:val="0"/>
        <w:spacing w:line="590" w:lineRule="exact"/>
        <w:ind w:left="0" w:firstLine="600" w:firstLineChars="200"/>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昆明市石林彝族自治县人民检察院2019年机关运行经费支出121.46万元，与上年对比</w:t>
      </w:r>
      <w:r>
        <w:rPr>
          <w:rFonts w:hint="eastAsia" w:ascii="仿宋_GB2312" w:hAnsi="仿宋_GB2312" w:eastAsia="仿宋_GB2312" w:cs="仿宋_GB2312"/>
          <w:color w:val="auto"/>
          <w:kern w:val="2"/>
          <w:sz w:val="30"/>
          <w:szCs w:val="30"/>
          <w:lang w:eastAsia="zh-CN"/>
        </w:rPr>
        <w:t>减少</w:t>
      </w:r>
      <w:r>
        <w:rPr>
          <w:rFonts w:hint="eastAsia" w:ascii="仿宋_GB2312" w:hAnsi="仿宋_GB2312" w:eastAsia="仿宋_GB2312" w:cs="仿宋_GB2312"/>
          <w:color w:val="auto"/>
          <w:kern w:val="2"/>
          <w:sz w:val="30"/>
          <w:szCs w:val="30"/>
          <w:lang w:val="en-US" w:eastAsia="zh-CN"/>
        </w:rPr>
        <w:t>1.54万元，减幅1.25%。</w:t>
      </w:r>
      <w:r>
        <w:rPr>
          <w:rFonts w:hint="eastAsia" w:ascii="仿宋_GB2312" w:hAnsi="仿宋_GB2312" w:eastAsia="仿宋_GB2312" w:cs="仿宋_GB2312"/>
          <w:color w:val="auto"/>
          <w:kern w:val="2"/>
          <w:sz w:val="30"/>
          <w:szCs w:val="30"/>
        </w:rPr>
        <w:t>部门机关运行经费主要用于</w:t>
      </w:r>
      <w:r>
        <w:rPr>
          <w:rFonts w:hint="eastAsia" w:ascii="仿宋_GB2312" w:hAnsi="仿宋_GB2312" w:eastAsia="仿宋_GB2312" w:cs="仿宋_GB2312"/>
          <w:color w:val="auto"/>
          <w:kern w:val="2"/>
          <w:sz w:val="30"/>
          <w:szCs w:val="30"/>
          <w:lang w:eastAsia="zh-CN"/>
        </w:rPr>
        <w:t>办公费、水电费、办公用品购置等保障机关日常运行的基本支出</w:t>
      </w:r>
      <w:r>
        <w:rPr>
          <w:rFonts w:hint="eastAsia" w:ascii="仿宋_GB2312" w:hAnsi="仿宋_GB2312" w:eastAsia="仿宋_GB2312" w:cs="仿宋_GB2312"/>
          <w:color w:val="auto"/>
          <w:kern w:val="2"/>
          <w:sz w:val="30"/>
          <w:szCs w:val="30"/>
        </w:rPr>
        <w:t>。</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二、国有资产占用情况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截至2019年12月31日，昆明市石林彝族自治县人民检察院资产总额</w:t>
      </w:r>
      <w:r>
        <w:rPr>
          <w:rFonts w:hint="eastAsia" w:ascii="仿宋_GB2312" w:hAnsi="仿宋_GB2312" w:eastAsia="仿宋_GB2312" w:cs="仿宋_GB2312"/>
          <w:color w:val="auto"/>
          <w:kern w:val="2"/>
          <w:sz w:val="30"/>
          <w:szCs w:val="30"/>
          <w:lang w:val="en-US" w:eastAsia="zh-CN"/>
        </w:rPr>
        <w:t>977.07</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元，其中，流动资产</w:t>
      </w:r>
      <w:r>
        <w:rPr>
          <w:rFonts w:hint="eastAsia" w:ascii="仿宋_GB2312" w:hAnsi="仿宋_GB2312" w:eastAsia="仿宋_GB2312" w:cs="仿宋_GB2312"/>
          <w:color w:val="auto"/>
          <w:kern w:val="2"/>
          <w:sz w:val="30"/>
          <w:szCs w:val="30"/>
          <w:lang w:val="en-US" w:eastAsia="zh-CN"/>
        </w:rPr>
        <w:t>298.54</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元，固定资产</w:t>
      </w:r>
      <w:r>
        <w:rPr>
          <w:rFonts w:hint="eastAsia" w:ascii="仿宋_GB2312" w:hAnsi="仿宋_GB2312" w:eastAsia="仿宋_GB2312" w:cs="仿宋_GB2312"/>
          <w:color w:val="auto"/>
          <w:kern w:val="2"/>
          <w:sz w:val="30"/>
          <w:szCs w:val="30"/>
          <w:lang w:val="en-US" w:eastAsia="zh-CN"/>
        </w:rPr>
        <w:t>678.53</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元，对外投资及有价证券</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元，在建工程</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元，无形资产</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元，其他资产</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0"/>
          <w:sz w:val="30"/>
          <w:szCs w:val="30"/>
        </w:rPr>
        <w:t>万</w:t>
      </w:r>
      <w:r>
        <w:rPr>
          <w:rFonts w:hint="eastAsia" w:ascii="仿宋_GB2312" w:hAnsi="仿宋_GB2312" w:eastAsia="仿宋_GB2312" w:cs="仿宋_GB2312"/>
          <w:color w:val="auto"/>
          <w:kern w:val="2"/>
          <w:sz w:val="30"/>
          <w:szCs w:val="30"/>
        </w:rPr>
        <w:t>元（具体内容详见附表）。与上年相比，本年资产总额减少</w:t>
      </w:r>
      <w:r>
        <w:rPr>
          <w:rFonts w:hint="eastAsia" w:ascii="仿宋_GB2312" w:hAnsi="仿宋_GB2312" w:eastAsia="仿宋_GB2312" w:cs="仿宋_GB2312"/>
          <w:color w:val="auto"/>
          <w:kern w:val="2"/>
          <w:sz w:val="30"/>
          <w:szCs w:val="30"/>
          <w:lang w:val="en-US" w:eastAsia="zh-CN"/>
        </w:rPr>
        <w:t>304.52</w:t>
      </w:r>
      <w:r>
        <w:rPr>
          <w:rFonts w:hint="eastAsia" w:ascii="仿宋_GB2312" w:hAnsi="仿宋_GB2312" w:eastAsia="仿宋_GB2312" w:cs="仿宋_GB2312"/>
          <w:color w:val="auto"/>
          <w:kern w:val="2"/>
          <w:sz w:val="30"/>
          <w:szCs w:val="30"/>
        </w:rPr>
        <w:t>万元，其中;流动资产减少</w:t>
      </w:r>
      <w:r>
        <w:rPr>
          <w:rFonts w:hint="eastAsia" w:ascii="仿宋_GB2312" w:hAnsi="仿宋_GB2312" w:eastAsia="仿宋_GB2312" w:cs="仿宋_GB2312"/>
          <w:color w:val="auto"/>
          <w:kern w:val="2"/>
          <w:sz w:val="30"/>
          <w:szCs w:val="30"/>
          <w:lang w:val="en-US" w:eastAsia="zh-CN"/>
        </w:rPr>
        <w:t>260.27</w:t>
      </w:r>
      <w:r>
        <w:rPr>
          <w:rFonts w:hint="eastAsia" w:ascii="仿宋_GB2312" w:hAnsi="仿宋_GB2312" w:eastAsia="仿宋_GB2312" w:cs="仿宋_GB2312"/>
          <w:color w:val="auto"/>
          <w:kern w:val="2"/>
          <w:sz w:val="30"/>
          <w:szCs w:val="30"/>
        </w:rPr>
        <w:t>万元，固定资产减少</w:t>
      </w:r>
      <w:r>
        <w:rPr>
          <w:rFonts w:hint="eastAsia" w:ascii="仿宋_GB2312" w:hAnsi="仿宋_GB2312" w:eastAsia="仿宋_GB2312" w:cs="仿宋_GB2312"/>
          <w:color w:val="auto"/>
          <w:kern w:val="2"/>
          <w:sz w:val="30"/>
          <w:szCs w:val="30"/>
          <w:lang w:val="en-US" w:eastAsia="zh-CN"/>
        </w:rPr>
        <w:t>44.25</w:t>
      </w:r>
      <w:r>
        <w:rPr>
          <w:rFonts w:hint="eastAsia" w:ascii="仿宋_GB2312" w:hAnsi="仿宋_GB2312" w:eastAsia="仿宋_GB2312" w:cs="仿宋_GB2312"/>
          <w:color w:val="auto"/>
          <w:kern w:val="2"/>
          <w:sz w:val="30"/>
          <w:szCs w:val="30"/>
        </w:rPr>
        <w:t>万元。处置房屋建筑物</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平方米，账面原值</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万元；处置车辆</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辆，账面原值</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万元；报废报损资产</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项，账面原值</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万元，实现资产处置收入</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万元；出租房屋</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平方米，账面原值</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万元，实现资产使用收入</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p>
    <w:tbl>
      <w:tblPr>
        <w:tblStyle w:val="14"/>
        <w:tblW w:w="8299" w:type="dxa"/>
        <w:jc w:val="center"/>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362"/>
        <w:gridCol w:w="342"/>
        <w:gridCol w:w="867"/>
        <w:gridCol w:w="900"/>
        <w:gridCol w:w="795"/>
        <w:gridCol w:w="750"/>
        <w:gridCol w:w="765"/>
        <w:gridCol w:w="480"/>
        <w:gridCol w:w="390"/>
        <w:gridCol w:w="870"/>
        <w:gridCol w:w="540"/>
        <w:gridCol w:w="435"/>
        <w:gridCol w:w="435"/>
        <w:gridCol w:w="3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rPr>
          <w:trHeight w:val="390" w:hRule="atLeast"/>
          <w:jc w:val="center"/>
        </w:trPr>
        <w:tc>
          <w:tcPr>
            <w:tcW w:w="8299" w:type="dxa"/>
            <w:gridSpan w:val="14"/>
            <w:shd w:val="clear" w:color="auto" w:fill="FFFFFF"/>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仿宋_GB2312" w:hAnsi="宋体" w:eastAsia="仿宋_GB2312" w:cs="宋体"/>
                <w:b/>
                <w:color w:val="000000"/>
                <w:kern w:val="0"/>
                <w:sz w:val="30"/>
                <w:szCs w:val="30"/>
                <w:bdr w:val="none" w:color="auto" w:sz="0" w:space="0"/>
              </w:rPr>
            </w:pPr>
            <w:r>
              <w:rPr>
                <w:rFonts w:hint="eastAsia" w:ascii="仿宋_GB2312" w:hAnsi="宋体" w:eastAsia="仿宋_GB2312" w:cs="宋体"/>
                <w:b/>
                <w:color w:val="000000"/>
                <w:kern w:val="0"/>
                <w:sz w:val="30"/>
                <w:szCs w:val="30"/>
                <w:bdr w:val="none" w:color="auto" w:sz="0" w:space="0"/>
              </w:rPr>
              <w:t>国有资产占有使用情况表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0" w:hRule="atLeast"/>
          <w:jc w:val="center"/>
        </w:trPr>
        <w:tc>
          <w:tcPr>
            <w:tcW w:w="5261" w:type="dxa"/>
            <w:gridSpan w:val="8"/>
            <w:tcBorders>
              <w:bottom w:val="single" w:color="000000" w:sz="4" w:space="0"/>
            </w:tcBorders>
            <w:shd w:val="clear" w:color="auto" w:fill="FFFFFF"/>
            <w:tcMar>
              <w:top w:w="15" w:type="dxa"/>
              <w:left w:w="15" w:type="dxa"/>
              <w:bottom w:w="15" w:type="dxa"/>
              <w:right w:w="15" w:type="dxa"/>
            </w:tcMar>
            <w:vAlign w:val="center"/>
          </w:tcPr>
          <w:p>
            <w:pPr>
              <w:keepNext w:val="0"/>
              <w:keepLines w:val="0"/>
              <w:widowControl/>
              <w:suppressLineNumbers w:val="0"/>
              <w:spacing w:before="0" w:beforeAutospacing="1" w:after="0" w:afterAutospacing="1"/>
              <w:jc w:val="left"/>
              <w:rPr>
                <w:rFonts w:hint="eastAsia" w:ascii="宋体" w:hAnsi="宋体" w:eastAsia="宋体" w:cs="宋体"/>
                <w:color w:val="000000"/>
                <w:kern w:val="0"/>
                <w:sz w:val="20"/>
                <w:szCs w:val="20"/>
                <w:bdr w:val="none" w:color="auto" w:sz="0" w:space="0"/>
              </w:rPr>
            </w:pPr>
            <w:r>
              <w:rPr>
                <w:rFonts w:hint="eastAsia" w:ascii="宋体" w:hAnsi="宋体" w:eastAsia="宋体" w:cs="宋体"/>
                <w:color w:val="000000"/>
                <w:kern w:val="0"/>
                <w:sz w:val="20"/>
                <w:szCs w:val="20"/>
                <w:bdr w:val="none" w:color="auto" w:sz="0" w:space="0"/>
              </w:rPr>
              <w:t> </w:t>
            </w:r>
          </w:p>
        </w:tc>
        <w:tc>
          <w:tcPr>
            <w:tcW w:w="1260" w:type="dxa"/>
            <w:gridSpan w:val="2"/>
            <w:tcBorders>
              <w:bottom w:val="single" w:color="000000" w:sz="4" w:space="0"/>
            </w:tcBorders>
            <w:shd w:val="clear" w:color="auto" w:fill="FFFFFF"/>
            <w:tcMar>
              <w:top w:w="15" w:type="dxa"/>
              <w:left w:w="15" w:type="dxa"/>
              <w:bottom w:w="15" w:type="dxa"/>
              <w:right w:w="15" w:type="dxa"/>
            </w:tcMar>
            <w:vAlign w:val="center"/>
          </w:tcPr>
          <w:p>
            <w:pPr>
              <w:keepNext w:val="0"/>
              <w:keepLines w:val="0"/>
              <w:widowControl/>
              <w:suppressLineNumbers w:val="0"/>
              <w:spacing w:before="0" w:beforeAutospacing="1" w:after="0" w:afterAutospacing="1"/>
              <w:jc w:val="left"/>
              <w:rPr>
                <w:rFonts w:hint="eastAsia" w:ascii="宋体" w:hAnsi="宋体" w:eastAsia="宋体" w:cs="宋体"/>
                <w:color w:val="000000"/>
                <w:kern w:val="0"/>
                <w:sz w:val="20"/>
                <w:szCs w:val="20"/>
                <w:bdr w:val="none" w:color="auto" w:sz="0" w:space="0"/>
              </w:rPr>
            </w:pPr>
          </w:p>
        </w:tc>
        <w:tc>
          <w:tcPr>
            <w:tcW w:w="1778" w:type="dxa"/>
            <w:gridSpan w:val="4"/>
            <w:tcBorders>
              <w:top w:val="nil"/>
              <w:left w:val="nil"/>
              <w:bottom w:val="single" w:color="000000" w:sz="4" w:space="0"/>
              <w:right w:val="nil"/>
            </w:tcBorders>
            <w:shd w:val="clear" w:color="auto" w:fill="FFFFFF"/>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color w:val="000000"/>
                <w:kern w:val="0"/>
                <w:sz w:val="20"/>
                <w:szCs w:val="20"/>
                <w:bdr w:val="none" w:color="auto" w:sz="0" w:space="0"/>
              </w:rPr>
            </w:pPr>
            <w:r>
              <w:rPr>
                <w:rFonts w:hint="eastAsia" w:ascii="宋体" w:hAnsi="宋体" w:eastAsia="宋体" w:cs="宋体"/>
                <w:color w:val="000000"/>
                <w:kern w:val="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0" w:hRule="atLeast"/>
          <w:jc w:val="center"/>
        </w:trPr>
        <w:tc>
          <w:tcPr>
            <w:tcW w:w="362" w:type="dxa"/>
            <w:vMerge w:val="restart"/>
            <w:tcBorders>
              <w:top w:val="nil"/>
              <w:left w:val="single" w:color="000000" w:sz="4" w:space="0"/>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项目</w:t>
            </w:r>
          </w:p>
        </w:tc>
        <w:tc>
          <w:tcPr>
            <w:tcW w:w="342" w:type="dxa"/>
            <w:vMerge w:val="restart"/>
            <w:tcBorders>
              <w:top w:val="nil"/>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行次</w:t>
            </w:r>
          </w:p>
        </w:tc>
        <w:tc>
          <w:tcPr>
            <w:tcW w:w="867" w:type="dxa"/>
            <w:vMerge w:val="restart"/>
            <w:tcBorders>
              <w:top w:val="nil"/>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资产总额</w:t>
            </w:r>
          </w:p>
        </w:tc>
        <w:tc>
          <w:tcPr>
            <w:tcW w:w="900" w:type="dxa"/>
            <w:vMerge w:val="restart"/>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流动资产</w:t>
            </w:r>
          </w:p>
        </w:tc>
        <w:tc>
          <w:tcPr>
            <w:tcW w:w="4050" w:type="dxa"/>
            <w:gridSpan w:val="6"/>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固定资产</w:t>
            </w:r>
          </w:p>
        </w:tc>
        <w:tc>
          <w:tcPr>
            <w:tcW w:w="540" w:type="dxa"/>
            <w:vMerge w:val="restart"/>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对外投资/有价证券</w:t>
            </w:r>
          </w:p>
        </w:tc>
        <w:tc>
          <w:tcPr>
            <w:tcW w:w="435" w:type="dxa"/>
            <w:vMerge w:val="restart"/>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在建工程</w:t>
            </w:r>
          </w:p>
        </w:tc>
        <w:tc>
          <w:tcPr>
            <w:tcW w:w="435" w:type="dxa"/>
            <w:vMerge w:val="restart"/>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无形资产</w:t>
            </w:r>
          </w:p>
        </w:tc>
        <w:tc>
          <w:tcPr>
            <w:tcW w:w="368" w:type="dxa"/>
            <w:vMerge w:val="restart"/>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其他资产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362" w:type="dxa"/>
            <w:vMerge w:val="continue"/>
            <w:tcBorders>
              <w:top w:val="nil"/>
              <w:left w:val="single" w:color="000000" w:sz="4" w:space="0"/>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342" w:type="dxa"/>
            <w:vMerge w:val="continue"/>
            <w:tcBorders>
              <w:top w:val="nil"/>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867" w:type="dxa"/>
            <w:vMerge w:val="continue"/>
            <w:tcBorders>
              <w:top w:val="nil"/>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900" w:type="dxa"/>
            <w:vMerge w:val="continue"/>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79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小计</w:t>
            </w:r>
          </w:p>
        </w:tc>
        <w:tc>
          <w:tcPr>
            <w:tcW w:w="75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房屋构筑物</w:t>
            </w:r>
          </w:p>
        </w:tc>
        <w:tc>
          <w:tcPr>
            <w:tcW w:w="76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车辆</w:t>
            </w:r>
          </w:p>
        </w:tc>
        <w:tc>
          <w:tcPr>
            <w:tcW w:w="870" w:type="dxa"/>
            <w:gridSpan w:val="2"/>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单价200万以上大型设备</w:t>
            </w:r>
          </w:p>
        </w:tc>
        <w:tc>
          <w:tcPr>
            <w:tcW w:w="87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其他固定资产</w:t>
            </w:r>
          </w:p>
        </w:tc>
        <w:tc>
          <w:tcPr>
            <w:tcW w:w="540" w:type="dxa"/>
            <w:vMerge w:val="continue"/>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435" w:type="dxa"/>
            <w:vMerge w:val="continue"/>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435" w:type="dxa"/>
            <w:vMerge w:val="continue"/>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c>
          <w:tcPr>
            <w:tcW w:w="368" w:type="dxa"/>
            <w:vMerge w:val="continue"/>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rPr>
                <w:rFonts w:hint="default" w:ascii="Times New Roman" w:hAnsi="Times New Roman" w:cs="Times New Roman"/>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2" w:hRule="atLeast"/>
          <w:jc w:val="center"/>
        </w:trPr>
        <w:tc>
          <w:tcPr>
            <w:tcW w:w="36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栏次</w:t>
            </w:r>
          </w:p>
        </w:tc>
        <w:tc>
          <w:tcPr>
            <w:tcW w:w="342"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left"/>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 </w:t>
            </w:r>
          </w:p>
        </w:tc>
        <w:tc>
          <w:tcPr>
            <w:tcW w:w="867"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1</w:t>
            </w:r>
          </w:p>
        </w:tc>
        <w:tc>
          <w:tcPr>
            <w:tcW w:w="90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2</w:t>
            </w:r>
          </w:p>
        </w:tc>
        <w:tc>
          <w:tcPr>
            <w:tcW w:w="79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3</w:t>
            </w:r>
          </w:p>
        </w:tc>
        <w:tc>
          <w:tcPr>
            <w:tcW w:w="75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4</w:t>
            </w:r>
          </w:p>
        </w:tc>
        <w:tc>
          <w:tcPr>
            <w:tcW w:w="76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5</w:t>
            </w:r>
          </w:p>
        </w:tc>
        <w:tc>
          <w:tcPr>
            <w:tcW w:w="870" w:type="dxa"/>
            <w:gridSpan w:val="2"/>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6</w:t>
            </w:r>
          </w:p>
        </w:tc>
        <w:tc>
          <w:tcPr>
            <w:tcW w:w="87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7</w:t>
            </w:r>
          </w:p>
        </w:tc>
        <w:tc>
          <w:tcPr>
            <w:tcW w:w="540"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8</w:t>
            </w:r>
          </w:p>
        </w:tc>
        <w:tc>
          <w:tcPr>
            <w:tcW w:w="43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9</w:t>
            </w:r>
          </w:p>
        </w:tc>
        <w:tc>
          <w:tcPr>
            <w:tcW w:w="43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10</w:t>
            </w:r>
          </w:p>
        </w:tc>
        <w:tc>
          <w:tcPr>
            <w:tcW w:w="36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0" w:hRule="atLeast"/>
          <w:jc w:val="center"/>
        </w:trPr>
        <w:tc>
          <w:tcPr>
            <w:tcW w:w="362" w:type="dxa"/>
            <w:tcBorders>
              <w:top w:val="single" w:color="000000" w:sz="4" w:space="0"/>
              <w:left w:val="single" w:color="000000" w:sz="4" w:space="0"/>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合计</w:t>
            </w:r>
          </w:p>
        </w:tc>
        <w:tc>
          <w:tcPr>
            <w:tcW w:w="342"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20"/>
                <w:szCs w:val="20"/>
                <w:bdr w:val="none" w:color="auto" w:sz="0" w:space="0"/>
              </w:rPr>
            </w:pPr>
            <w:r>
              <w:rPr>
                <w:rFonts w:hint="eastAsia" w:ascii="宋体" w:hAnsi="宋体" w:eastAsia="宋体" w:cs="宋体"/>
                <w:kern w:val="0"/>
                <w:sz w:val="20"/>
                <w:szCs w:val="20"/>
                <w:bdr w:val="none" w:color="auto" w:sz="0" w:space="0"/>
              </w:rPr>
              <w:t>1</w:t>
            </w:r>
          </w:p>
        </w:tc>
        <w:tc>
          <w:tcPr>
            <w:tcW w:w="867"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center"/>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977.07</w:t>
            </w:r>
          </w:p>
        </w:tc>
        <w:tc>
          <w:tcPr>
            <w:tcW w:w="90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298.54</w:t>
            </w:r>
          </w:p>
        </w:tc>
        <w:tc>
          <w:tcPr>
            <w:tcW w:w="79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678.53</w:t>
            </w:r>
          </w:p>
        </w:tc>
        <w:tc>
          <w:tcPr>
            <w:tcW w:w="75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525.64</w:t>
            </w:r>
          </w:p>
        </w:tc>
        <w:tc>
          <w:tcPr>
            <w:tcW w:w="76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17.22</w:t>
            </w:r>
          </w:p>
        </w:tc>
        <w:tc>
          <w:tcPr>
            <w:tcW w:w="870" w:type="dxa"/>
            <w:gridSpan w:val="2"/>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rPr>
            </w:pPr>
            <w:r>
              <w:rPr>
                <w:rFonts w:hint="eastAsia" w:ascii="宋体" w:hAnsi="宋体" w:eastAsia="宋体" w:cs="宋体"/>
                <w:kern w:val="0"/>
                <w:sz w:val="13"/>
                <w:szCs w:val="13"/>
                <w:bdr w:val="none" w:color="auto" w:sz="0" w:space="0"/>
                <w:lang w:val="en-US" w:eastAsia="zh-CN"/>
              </w:rPr>
              <w:t>0</w:t>
            </w:r>
            <w:r>
              <w:rPr>
                <w:rFonts w:hint="eastAsia" w:ascii="宋体" w:hAnsi="宋体" w:eastAsia="宋体" w:cs="宋体"/>
                <w:kern w:val="0"/>
                <w:sz w:val="13"/>
                <w:szCs w:val="13"/>
                <w:bdr w:val="none" w:color="auto" w:sz="0" w:space="0"/>
              </w:rPr>
              <w:t> </w:t>
            </w:r>
          </w:p>
        </w:tc>
        <w:tc>
          <w:tcPr>
            <w:tcW w:w="87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lang w:val="en-US" w:eastAsia="zh-CN"/>
              </w:rPr>
            </w:pPr>
            <w:r>
              <w:rPr>
                <w:rFonts w:hint="eastAsia" w:ascii="宋体" w:hAnsi="宋体" w:eastAsia="宋体" w:cs="宋体"/>
                <w:kern w:val="0"/>
                <w:sz w:val="13"/>
                <w:szCs w:val="13"/>
                <w:bdr w:val="none" w:color="auto" w:sz="0" w:space="0"/>
                <w:lang w:val="en-US" w:eastAsia="zh-CN"/>
              </w:rPr>
              <w:t>135.67</w:t>
            </w:r>
          </w:p>
        </w:tc>
        <w:tc>
          <w:tcPr>
            <w:tcW w:w="540"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rPr>
            </w:pPr>
          </w:p>
        </w:tc>
        <w:tc>
          <w:tcPr>
            <w:tcW w:w="43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rPr>
            </w:pPr>
          </w:p>
        </w:tc>
        <w:tc>
          <w:tcPr>
            <w:tcW w:w="435"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rPr>
            </w:pPr>
          </w:p>
        </w:tc>
        <w:tc>
          <w:tcPr>
            <w:tcW w:w="368" w:type="dxa"/>
            <w:tcBorders>
              <w:top w:val="single" w:color="000000" w:sz="4" w:space="0"/>
              <w:left w:val="nil"/>
              <w:bottom w:val="single" w:color="000000" w:sz="4" w:space="0"/>
              <w:right w:val="single" w:color="000000" w:sz="4" w:space="0"/>
            </w:tcBorders>
            <w:shd w:val="clear"/>
            <w:tcMar>
              <w:top w:w="15" w:type="dxa"/>
              <w:left w:w="15" w:type="dxa"/>
              <w:bottom w:w="15" w:type="dxa"/>
              <w:right w:w="15" w:type="dxa"/>
            </w:tcMar>
            <w:vAlign w:val="center"/>
          </w:tcPr>
          <w:p>
            <w:pPr>
              <w:keepNext w:val="0"/>
              <w:keepLines w:val="0"/>
              <w:widowControl/>
              <w:suppressLineNumbers w:val="0"/>
              <w:spacing w:before="0" w:beforeAutospacing="1" w:after="0" w:afterAutospacing="1"/>
              <w:jc w:val="right"/>
              <w:rPr>
                <w:rFonts w:hint="eastAsia" w:ascii="宋体" w:hAnsi="宋体" w:eastAsia="宋体" w:cs="宋体"/>
                <w:kern w:val="0"/>
                <w:sz w:val="13"/>
                <w:szCs w:val="13"/>
                <w:bdr w:val="none" w:color="auto" w:sz="0" w:space="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7496" w:type="dxa"/>
            <w:gridSpan w:val="12"/>
            <w:tcBorders>
              <w:top w:val="single" w:color="000000" w:sz="4" w:space="0"/>
            </w:tcBorders>
            <w:shd w:val="clear"/>
            <w:tcMar>
              <w:top w:w="15" w:type="dxa"/>
              <w:left w:w="15" w:type="dxa"/>
              <w:bottom w:w="15" w:type="dxa"/>
              <w:right w:w="15" w:type="dxa"/>
            </w:tcMar>
            <w:vAlign w:val="bottom"/>
          </w:tcPr>
          <w:p>
            <w:pPr>
              <w:keepNext w:val="0"/>
              <w:keepLines w:val="0"/>
              <w:widowControl/>
              <w:suppressLineNumbers w:val="0"/>
              <w:spacing w:before="0" w:beforeAutospacing="1" w:after="0" w:afterAutospacing="1"/>
              <w:jc w:val="right"/>
              <w:rPr>
                <w:rFonts w:hint="eastAsia" w:ascii="宋体" w:hAnsi="宋体" w:eastAsia="宋体" w:cs="宋体"/>
                <w:kern w:val="0"/>
                <w:sz w:val="24"/>
                <w:szCs w:val="24"/>
                <w:bdr w:val="none" w:color="auto" w:sz="0" w:space="0"/>
              </w:rPr>
            </w:pPr>
          </w:p>
        </w:tc>
        <w:tc>
          <w:tcPr>
            <w:tcW w:w="435" w:type="dxa"/>
            <w:tcBorders>
              <w:top w:val="single" w:color="000000" w:sz="4" w:space="0"/>
            </w:tcBorders>
            <w:shd w:val="clear"/>
            <w:tcMar>
              <w:top w:w="15" w:type="dxa"/>
              <w:left w:w="15" w:type="dxa"/>
              <w:bottom w:w="15" w:type="dxa"/>
              <w:right w:w="15" w:type="dxa"/>
            </w:tcMar>
            <w:vAlign w:val="bottom"/>
          </w:tcPr>
          <w:p>
            <w:pPr>
              <w:keepNext w:val="0"/>
              <w:keepLines w:val="0"/>
              <w:widowControl/>
              <w:suppressLineNumbers w:val="0"/>
              <w:spacing w:before="0" w:beforeAutospacing="1" w:after="0" w:afterAutospacing="1"/>
              <w:jc w:val="left"/>
              <w:rPr>
                <w:rFonts w:hint="eastAsia" w:ascii="宋体" w:hAnsi="宋体" w:eastAsia="宋体" w:cs="宋体"/>
                <w:kern w:val="0"/>
                <w:sz w:val="24"/>
                <w:szCs w:val="24"/>
                <w:bdr w:val="none" w:color="auto" w:sz="0" w:space="0"/>
              </w:rPr>
            </w:pPr>
          </w:p>
        </w:tc>
        <w:tc>
          <w:tcPr>
            <w:tcW w:w="368" w:type="dxa"/>
            <w:tcBorders>
              <w:top w:val="single" w:color="000000" w:sz="4" w:space="0"/>
            </w:tcBorders>
            <w:shd w:val="clear"/>
            <w:tcMar>
              <w:top w:w="15" w:type="dxa"/>
              <w:left w:w="15" w:type="dxa"/>
              <w:bottom w:w="15" w:type="dxa"/>
              <w:right w:w="15" w:type="dxa"/>
            </w:tcMar>
            <w:vAlign w:val="bottom"/>
          </w:tcPr>
          <w:p>
            <w:pPr>
              <w:keepNext w:val="0"/>
              <w:keepLines w:val="0"/>
              <w:widowControl/>
              <w:suppressLineNumbers w:val="0"/>
              <w:spacing w:before="0" w:beforeAutospacing="1" w:after="0" w:afterAutospacing="1"/>
              <w:jc w:val="left"/>
              <w:rPr>
                <w:rFonts w:hint="eastAsia" w:ascii="宋体" w:hAnsi="宋体" w:eastAsia="宋体" w:cs="宋体"/>
                <w:kern w:val="0"/>
                <w:sz w:val="24"/>
                <w:szCs w:val="24"/>
                <w:bdr w:val="none" w:color="auto" w:sz="0" w:space="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0" w:hRule="atLeast"/>
          <w:jc w:val="center"/>
        </w:trPr>
        <w:tc>
          <w:tcPr>
            <w:tcW w:w="8299" w:type="dxa"/>
            <w:gridSpan w:val="14"/>
            <w:shd w:val="clear"/>
            <w:tcMar>
              <w:top w:w="15" w:type="dxa"/>
              <w:left w:w="15" w:type="dxa"/>
              <w:bottom w:w="15" w:type="dxa"/>
              <w:right w:w="15" w:type="dxa"/>
            </w:tcMar>
            <w:vAlign w:val="bottom"/>
          </w:tcPr>
          <w:p>
            <w:pPr>
              <w:keepNext w:val="0"/>
              <w:keepLines w:val="0"/>
              <w:widowControl/>
              <w:suppressLineNumbers w:val="0"/>
              <w:spacing w:before="0" w:beforeAutospacing="1" w:after="0" w:afterAutospacing="1"/>
              <w:jc w:val="left"/>
              <w:rPr>
                <w:rFonts w:hint="eastAsia" w:ascii="仿宋_GB2312" w:hAnsi="宋体" w:eastAsia="仿宋_GB2312" w:cs="宋体"/>
                <w:kern w:val="0"/>
                <w:sz w:val="21"/>
                <w:szCs w:val="21"/>
                <w:bdr w:val="none" w:color="auto" w:sz="0" w:space="0"/>
              </w:rPr>
            </w:pPr>
            <w:r>
              <w:rPr>
                <w:rFonts w:hint="eastAsia" w:ascii="仿宋_GB2312" w:hAnsi="宋体" w:eastAsia="仿宋_GB2312" w:cs="宋体"/>
                <w:kern w:val="0"/>
                <w:sz w:val="21"/>
                <w:szCs w:val="21"/>
                <w:bdr w:val="none" w:color="auto" w:sz="0" w:space="0"/>
              </w:rPr>
              <w:t>填报说明：1.资产总额＝流动资产＋固定资产＋对外投资／有价证券＋在建工程＋无形资产＋其他资产2.固定资产＝房屋构筑物＋车辆＋单价200万元以上大型设备＋其他固定资产</w:t>
            </w:r>
          </w:p>
        </w:tc>
      </w:tr>
    </w:tbl>
    <w:p>
      <w:pPr>
        <w:autoSpaceDE w:val="0"/>
        <w:autoSpaceDN w:val="0"/>
        <w:adjustRightInd w:val="0"/>
        <w:ind w:left="0" w:firstLine="600"/>
        <w:jc w:val="center"/>
        <w:rPr>
          <w:rFonts w:hint="default" w:ascii="Times New Roman" w:hAnsi="Times New Roman" w:eastAsia="宋体" w:cs="Times New Roman"/>
          <w:color w:val="FF0000"/>
          <w:kern w:val="2"/>
          <w:sz w:val="30"/>
          <w:szCs w:val="30"/>
        </w:rPr>
      </w:pPr>
      <w:r>
        <w:rPr>
          <w:rFonts w:hint="default" w:ascii="Times New Roman" w:hAnsi="Times New Roman" w:eastAsia="宋体" w:cs="Times New Roman"/>
          <w:color w:val="FF0000"/>
          <w:kern w:val="2"/>
          <w:sz w:val="30"/>
          <w:szCs w:val="30"/>
        </w:rPr>
        <w:t xml:space="preserve"> </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rPr>
        <w:t>三、政府采购支出情况</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2019年度，部门政府采购支出总额</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万元,其中：政府采购货物支出</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万元;政府采购工程支出</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万元;政府采购服务支出</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万元;授予中小企业合同金额</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万元，占政府采购支出总额的</w:t>
      </w:r>
      <w:r>
        <w:rPr>
          <w:rFonts w:hint="eastAsia" w:ascii="仿宋_GB2312" w:hAnsi="仿宋_GB2312" w:eastAsia="仿宋_GB2312" w:cs="仿宋_GB2312"/>
          <w:color w:val="auto"/>
          <w:kern w:val="2"/>
          <w:sz w:val="30"/>
          <w:szCs w:val="30"/>
          <w:lang w:val="en-US" w:eastAsia="zh-CN"/>
        </w:rPr>
        <w:t>0</w:t>
      </w:r>
      <w:r>
        <w:rPr>
          <w:rFonts w:hint="eastAsia" w:ascii="仿宋_GB2312" w:hAnsi="仿宋_GB2312" w:eastAsia="仿宋_GB2312" w:cs="仿宋_GB2312"/>
          <w:color w:val="auto"/>
          <w:kern w:val="2"/>
          <w:sz w:val="30"/>
          <w:szCs w:val="30"/>
        </w:rPr>
        <w:t>%。</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lang w:eastAsia="zh-CN"/>
        </w:rPr>
        <w:t>四</w:t>
      </w:r>
      <w:r>
        <w:rPr>
          <w:rFonts w:hint="eastAsia" w:ascii="黑体" w:hAnsi="Times New Roman" w:eastAsia="黑体" w:cs="黑体"/>
          <w:kern w:val="2"/>
          <w:sz w:val="30"/>
          <w:szCs w:val="30"/>
        </w:rPr>
        <w:t>、其他重要事项情况说明</w:t>
      </w:r>
    </w:p>
    <w:p>
      <w:pPr>
        <w:autoSpaceDE w:val="0"/>
        <w:autoSpaceDN w:val="0"/>
        <w:adjustRightInd w:val="0"/>
        <w:spacing w:line="590" w:lineRule="exact"/>
        <w:ind w:left="0" w:firstLine="600" w:firstLineChars="200"/>
        <w:jc w:val="left"/>
        <w:rPr>
          <w:rFonts w:hint="eastAsia" w:ascii="仿宋_GB2312" w:hAnsi="仿宋_GB2312" w:eastAsia="仿宋_GB2312" w:cs="仿宋_GB2312"/>
          <w:color w:val="auto"/>
          <w:kern w:val="2"/>
          <w:sz w:val="30"/>
          <w:szCs w:val="30"/>
          <w:lang w:eastAsia="zh-CN"/>
        </w:rPr>
      </w:pPr>
      <w:r>
        <w:rPr>
          <w:rFonts w:hint="eastAsia" w:ascii="仿宋_GB2312" w:hAnsi="仿宋_GB2312" w:eastAsia="仿宋_GB2312" w:cs="仿宋_GB2312"/>
          <w:color w:val="auto"/>
          <w:kern w:val="2"/>
          <w:sz w:val="30"/>
          <w:szCs w:val="30"/>
          <w:lang w:eastAsia="zh-CN"/>
        </w:rPr>
        <w:t>无。</w:t>
      </w:r>
    </w:p>
    <w:p>
      <w:pPr>
        <w:autoSpaceDE w:val="0"/>
        <w:autoSpaceDN w:val="0"/>
        <w:adjustRightInd w:val="0"/>
        <w:spacing w:line="590" w:lineRule="exact"/>
        <w:ind w:left="0" w:firstLine="600" w:firstLineChars="200"/>
        <w:jc w:val="left"/>
        <w:rPr>
          <w:rFonts w:hint="default" w:ascii="Times New Roman" w:hAnsi="Times New Roman" w:eastAsia="黑体" w:cs="Times New Roman"/>
          <w:kern w:val="2"/>
          <w:sz w:val="30"/>
          <w:szCs w:val="30"/>
        </w:rPr>
      </w:pPr>
      <w:r>
        <w:rPr>
          <w:rFonts w:hint="eastAsia" w:ascii="黑体" w:hAnsi="Times New Roman" w:eastAsia="黑体" w:cs="黑体"/>
          <w:kern w:val="2"/>
          <w:sz w:val="30"/>
          <w:szCs w:val="30"/>
          <w:lang w:eastAsia="zh-CN"/>
        </w:rPr>
        <w:t>五</w:t>
      </w:r>
      <w:r>
        <w:rPr>
          <w:rFonts w:hint="eastAsia" w:ascii="黑体" w:hAnsi="Times New Roman" w:eastAsia="黑体" w:cs="黑体"/>
          <w:kern w:val="2"/>
          <w:sz w:val="30"/>
          <w:szCs w:val="30"/>
        </w:rPr>
        <w:t>、相关口径说明</w:t>
      </w:r>
    </w:p>
    <w:p>
      <w:pPr>
        <w:autoSpaceDE w:val="0"/>
        <w:autoSpaceDN w:val="0"/>
        <w:adjustRightInd w:val="0"/>
        <w:spacing w:line="590" w:lineRule="exact"/>
        <w:ind w:left="0" w:firstLine="600"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（一）基本支出中人员经费包括工资福利支出和对个人和家庭的补助，日常公用支出包括商品和服务支出、资本性支出等人员经费以外的支出。</w:t>
      </w:r>
    </w:p>
    <w:p>
      <w:pPr>
        <w:autoSpaceDE w:val="0"/>
        <w:autoSpaceDN w:val="0"/>
        <w:adjustRightInd w:val="0"/>
        <w:spacing w:line="590" w:lineRule="exact"/>
        <w:ind w:left="0" w:firstLine="600"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（二）机关运行经费指行政单位和参照公务员法管理的事业单位使用一般公共预算财政拨款安排的基本支出中的日常公用经费支出。</w:t>
      </w:r>
    </w:p>
    <w:p>
      <w:pPr>
        <w:autoSpaceDE w:val="0"/>
        <w:autoSpaceDN w:val="0"/>
        <w:adjustRightInd w:val="0"/>
        <w:spacing w:line="590" w:lineRule="exact"/>
        <w:ind w:left="0" w:firstLine="600" w:firstLineChars="200"/>
        <w:jc w:val="lef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autoSpaceDE w:val="0"/>
        <w:autoSpaceDN w:val="0"/>
        <w:adjustRightInd w:val="0"/>
        <w:spacing w:line="590" w:lineRule="exact"/>
        <w:ind w:left="0" w:firstLine="600" w:firstLineChars="200"/>
        <w:jc w:val="left"/>
        <w:rPr>
          <w:rFonts w:hint="default" w:ascii="Times New Roman" w:hAnsi="Times New Roman" w:eastAsia="仿宋" w:cs="Times New Roman"/>
          <w:kern w:val="2"/>
          <w:sz w:val="30"/>
          <w:szCs w:val="30"/>
        </w:rPr>
      </w:pPr>
      <w:r>
        <w:rPr>
          <w:rFonts w:hint="eastAsia" w:ascii="仿宋_GB2312" w:hAnsi="仿宋_GB2312" w:eastAsia="仿宋_GB2312" w:cs="仿宋_GB2312"/>
          <w:kern w:val="2"/>
          <w:sz w:val="30"/>
          <w:szCs w:val="30"/>
        </w:rPr>
        <w:t>（四）</w:t>
      </w:r>
      <w:bookmarkStart w:id="0" w:name="_GoBack"/>
      <w:bookmarkEnd w:id="0"/>
      <w:r>
        <w:rPr>
          <w:rFonts w:hint="eastAsia" w:ascii="仿宋_GB2312" w:hAnsi="仿宋_GB2312" w:eastAsia="仿宋_GB2312" w:cs="仿宋_GB2312"/>
          <w:kern w:val="2"/>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autoSpaceDE w:val="0"/>
        <w:autoSpaceDN w:val="0"/>
        <w:adjustRightInd w:val="0"/>
        <w:spacing w:line="590" w:lineRule="exact"/>
        <w:jc w:val="center"/>
        <w:rPr>
          <w:rFonts w:hint="default" w:ascii="Times New Roman" w:hAnsi="Times New Roman" w:eastAsia="黑体" w:cs="Times New Roman"/>
          <w:kern w:val="2"/>
          <w:sz w:val="32"/>
          <w:szCs w:val="32"/>
        </w:rPr>
      </w:pPr>
      <w:r>
        <w:rPr>
          <w:rFonts w:hint="eastAsia" w:ascii="黑体" w:hAnsi="Times New Roman" w:eastAsia="黑体" w:cs="黑体"/>
          <w:kern w:val="2"/>
          <w:sz w:val="32"/>
          <w:szCs w:val="32"/>
        </w:rPr>
        <w:t>第五部分  名词解释</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【一般公共预算收入】</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【一般公共预算支出】</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务、住房保障支出等。</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【基本支出】</w:t>
      </w:r>
    </w:p>
    <w:p>
      <w:pPr>
        <w:numPr>
          <w:ilvl w:val="0"/>
          <w:numId w:val="0"/>
        </w:numPr>
        <w:ind w:firstLine="600" w:firstLineChars="200"/>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基本支出是指</w:t>
      </w:r>
      <w:r>
        <w:rPr>
          <w:rFonts w:hint="eastAsia" w:ascii="仿宋_GB2312" w:hAnsi="黑体" w:eastAsia="仿宋_GB2312" w:cs="方正小标宋简体"/>
          <w:sz w:val="30"/>
          <w:szCs w:val="30"/>
        </w:rPr>
        <w:t>为保障机构正常运转、完成日常工作任务而发生的人员支出和公用支出。</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【项目支出】</w:t>
      </w:r>
    </w:p>
    <w:p>
      <w:pPr>
        <w:ind w:firstLine="600" w:firstLineChars="200"/>
        <w:rPr>
          <w:rFonts w:hint="eastAsia" w:ascii="仿宋_GB2312" w:hAnsi="黑体" w:eastAsia="仿宋_GB2312" w:cs="方正小标宋简体"/>
          <w:sz w:val="30"/>
          <w:szCs w:val="30"/>
        </w:rPr>
      </w:pPr>
      <w:r>
        <w:rPr>
          <w:rFonts w:hint="eastAsia" w:ascii="仿宋_GB2312" w:hAnsi="黑体" w:eastAsia="仿宋_GB2312" w:cs="方正小标宋简体"/>
          <w:sz w:val="30"/>
          <w:szCs w:val="30"/>
        </w:rPr>
        <w:t>在基本支出之外为完成特定行政任务和事业发展目标所发生的支出。</w:t>
      </w:r>
    </w:p>
    <w:p>
      <w:pPr>
        <w:ind w:firstLine="600" w:firstLineChars="200"/>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【其他检察支出】</w:t>
      </w:r>
    </w:p>
    <w:p>
      <w:pPr>
        <w:ind w:firstLine="600" w:firstLineChars="200"/>
        <w:rPr>
          <w:rFonts w:hint="eastAsia" w:ascii="仿宋_GB2312" w:hAnsi="黑体" w:eastAsia="仿宋_GB2312" w:cs="方正小标宋简体"/>
          <w:sz w:val="30"/>
          <w:szCs w:val="30"/>
          <w:lang w:eastAsia="zh-CN"/>
        </w:rPr>
      </w:pPr>
      <w:r>
        <w:rPr>
          <w:rFonts w:hint="eastAsia" w:ascii="仿宋_GB2312" w:hAnsi="宋体" w:eastAsia="仿宋_GB2312" w:cs="宋体"/>
          <w:sz w:val="30"/>
          <w:szCs w:val="30"/>
        </w:rPr>
        <w:t>人民检察院行使法律监督职能而必须的经费支出。</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【三公经费】</w:t>
      </w:r>
    </w:p>
    <w:p>
      <w:pPr>
        <w:ind w:firstLine="600" w:firstLineChars="200"/>
        <w:jc w:val="left"/>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eastAsia="zh-CN"/>
        </w:rPr>
        <w:t>“三公”经费预算数是指各部门从年初预算中安排用于因公出国（境）费、公务用车购置及运行维护费、公务接待费用的预算数。其中，</w:t>
      </w:r>
      <w:r>
        <w:rPr>
          <w:rFonts w:hint="eastAsia" w:ascii="仿宋_GB2312" w:hAnsi="黑体" w:eastAsia="仿宋_GB2312" w:cs="方正小标宋简体"/>
          <w:sz w:val="30"/>
          <w:szCs w:val="30"/>
        </w:rPr>
        <w:t>因公出国（境）费，指单位工作人员公务出国（境）的国际旅费、国外城市间交通费、住宿费、伙食费、培训费、公杂费等支出；公务用车购置费，指单位公务用车车辆购置支出（含车辆购置税、牌照费等）；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【国有资本经营预算】</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指国家以所有者身份依法取得国有资本收益，并对所得收益进行分配而发生的收支预算。</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【政府采购】</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政府采购也称公共采购，是指各级国家机关、实行预算管理的事业单位和社会团体，采取竞争、择优、公开的形式，使用财政性资金，以购买、租赁、委托或雇佣等方法取得货物、工程和服务的行为。政府采购制度则是采购政策、采购方式、采购程序和组织形式等一系列政府采购管理规范的总称。</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【结余结转】</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结余是指财政收入大于财政支出的部分。结转是指当年支出预算已下达但未执行，需按原项目使用用途在下年继续安排使用的支出部分。</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【转移支付】</w:t>
      </w:r>
    </w:p>
    <w:p>
      <w:pPr>
        <w:ind w:firstLine="600" w:firstLineChars="200"/>
        <w:jc w:val="left"/>
        <w:rPr>
          <w:rFonts w:hint="eastAsia" w:ascii="仿宋_GB2312" w:hAnsi="黑体" w:eastAsia="仿宋_GB2312" w:cs="方正小标宋简体"/>
          <w:sz w:val="30"/>
          <w:szCs w:val="30"/>
          <w:lang w:eastAsia="zh-CN"/>
        </w:rPr>
      </w:pPr>
      <w:r>
        <w:rPr>
          <w:rFonts w:hint="eastAsia" w:ascii="仿宋_GB2312" w:hAnsi="黑体" w:eastAsia="仿宋_GB2312" w:cs="方正小标宋简体"/>
          <w:sz w:val="30"/>
          <w:szCs w:val="30"/>
          <w:lang w:eastAsia="zh-CN"/>
        </w:rPr>
        <w:t>是指货币资金、商品、服务或金融资产的所有权由一方向另一方的无偿转移。转移的对象可以是现金，也可以是实物。财政转移支付主要是指财政资源（资金）在各级政府间的无偿转移，包括横向转移和纵向转移。财政转移支付通常可以分为无条件的财政转移支付（即一般性转移支付）和有条件的财政转移支付（即专项转移支付）两种。</w:t>
      </w:r>
    </w:p>
    <w:p>
      <w:pPr>
        <w:rPr>
          <w:rFonts w:hint="default" w:ascii="等线" w:hAnsi="等线" w:eastAsia="等线" w:cs="黑体"/>
          <w:kern w:val="2"/>
          <w:sz w:val="30"/>
          <w:szCs w:val="30"/>
        </w:rPr>
      </w:pPr>
      <w:r>
        <w:rPr>
          <w:rFonts w:hint="default" w:ascii="等线" w:hAnsi="等线" w:eastAsia="等线" w:cs="黑体"/>
          <w:kern w:val="2"/>
          <w:sz w:val="30"/>
          <w:szCs w:val="30"/>
        </w:rPr>
        <w:t xml:space="preserve"> </w:t>
      </w:r>
    </w:p>
    <w:sectPr>
      <w:pgSz w:w="12240" w:h="15840"/>
      <w:pgMar w:top="1440" w:right="1800" w:bottom="1440" w:left="1800" w:header="851" w:footer="992" w:gutter="0"/>
      <w:paperSrc/>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等线">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AFF" w:usb1="C0007843" w:usb2="00000009" w:usb3="00000000" w:csb0="400001FF" w:csb1="FFFF0000"/>
  </w:font>
  <w:font w:name="Times New Roman'''''''">
    <w:altName w:val="Times"/>
    <w:panose1 w:val="00000000000000000000"/>
    <w:charset w:val="00"/>
    <w:family w:val="roman"/>
    <w:pitch w:val="default"/>
    <w:sig w:usb0="00000000" w:usb1="00000000" w:usb2="00000000" w:usb3="00000000" w:csb0="00040001" w:csb1="00000000"/>
  </w:font>
  <w:font w:name="方正小标宋_GBK">
    <w:altName w:val="微软雅黑"/>
    <w:panose1 w:val="03000509000000000000"/>
    <w:charset w:val="86"/>
    <w:family w:val="roman"/>
    <w:pitch w:val="default"/>
    <w:sig w:usb0="00000000" w:usb1="00000000" w:usb2="00000000" w:usb3="00000000" w:csb0="00040000" w:csb1="00000000"/>
  </w:font>
  <w:font w:name="Times">
    <w:altName w:val="CG Times"/>
    <w:panose1 w:val="00000000000000000000"/>
    <w:charset w:val="00"/>
    <w:family w:val="auto"/>
    <w:pitch w:val="default"/>
    <w:sig w:usb0="00000000" w:usb1="00000000" w:usb2="00000000" w:usb3="00000000" w:csb0="00000000" w:csb1="00000000"/>
  </w:font>
  <w:font w:name="CG Times">
    <w:panose1 w:val="020206030504050203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
    <w:altName w:val="宋体"/>
    <w:panose1 w:val="00000000000000000000"/>
    <w:charset w:val="86"/>
    <w:family w:val="roman"/>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10006FF" w:usb1="4000205B" w:usb2="00000010" w:usb3="00000000" w:csb0="2000019F" w:csb1="00000000"/>
  </w:font>
  <w:font w:name="FZKai-Z03">
    <w:altName w:val="宋体"/>
    <w:panose1 w:val="00000000000000000000"/>
    <w:charset w:val="86"/>
    <w:family w:val="roman"/>
    <w:pitch w:val="default"/>
    <w:sig w:usb0="00000000" w:usb1="00000000" w:usb2="00000010" w:usb3="00000000" w:csb0="00040000" w:csb1="00000000"/>
  </w:font>
  <w:font w:name="FZShuSong-Z01S">
    <w:altName w:val="宋体"/>
    <w:panose1 w:val="00000000000000000000"/>
    <w:charset w:val="86"/>
    <w:family w:val="roman"/>
    <w:pitch w:val="default"/>
    <w:sig w:usb0="00000000" w:usb1="00000000" w:usb2="00000010" w:usb3="00000000" w:csb0="00040000" w:csb1="00000000"/>
  </w:font>
  <w:font w:name="Webdings">
    <w:panose1 w:val="05030102010509060703"/>
    <w:charset w:val="00"/>
    <w:family w:val="auto"/>
    <w:pitch w:val="default"/>
    <w:sig w:usb0="00000000" w:usb1="00000000" w:usb2="00000000" w:usb3="00000000" w:csb0="80000000" w:csb1="00000000"/>
  </w:font>
  <w:font w:name="新宋体">
    <w:panose1 w:val="02010609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6DA73F"/>
    <w:multiLevelType w:val="singleLevel"/>
    <w:tmpl w:val="5F6DA73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9729D8"/>
    <w:rsid w:val="2DE218CA"/>
    <w:rsid w:val="3AE36110"/>
    <w:rsid w:val="3D0A6C25"/>
    <w:rsid w:val="457C1D8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uppressLineNumbers w:val="0"/>
      <w:spacing w:before="0" w:beforeAutospacing="0" w:after="0" w:afterAutospacing="0"/>
      <w:ind w:left="0" w:right="0"/>
      <w:jc w:val="both"/>
    </w:pPr>
    <w:rPr>
      <w:rFonts w:hint="default" w:ascii="等线" w:hAnsi="等线" w:eastAsia="等线" w:cs="黑体"/>
      <w:kern w:val="2"/>
      <w:sz w:val="21"/>
      <w:szCs w:val="21"/>
      <w:lang w:val="en-US" w:eastAsia="zh-CN" w:bidi="ar"/>
    </w:rPr>
  </w:style>
  <w:style w:type="paragraph" w:styleId="2">
    <w:name w:val="heading 1"/>
    <w:basedOn w:val="1"/>
    <w:next w:val="1"/>
    <w:qFormat/>
    <w:uiPriority w:val="0"/>
    <w:pPr>
      <w:widowControl/>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widowControl/>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4">
    <w:name w:val="heading 3"/>
    <w:basedOn w:val="1"/>
    <w:next w:val="1"/>
    <w:unhideWhenUsed/>
    <w:qFormat/>
    <w:uiPriority w:val="0"/>
    <w:pPr>
      <w:widowControl/>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5">
    <w:name w:val="heading 4"/>
    <w:basedOn w:val="1"/>
    <w:next w:val="1"/>
    <w:unhideWhenUsed/>
    <w:qFormat/>
    <w:uiPriority w:val="0"/>
    <w:pPr>
      <w:widowControl/>
      <w:spacing w:before="0" w:beforeAutospacing="1" w:after="0" w:afterAutospacing="1"/>
      <w:jc w:val="left"/>
    </w:pPr>
    <w:rPr>
      <w:rFonts w:hint="eastAsia" w:ascii="宋体" w:hAnsi="宋体" w:eastAsia="宋体" w:cs="宋体"/>
      <w:b/>
      <w:kern w:val="0"/>
      <w:sz w:val="24"/>
      <w:szCs w:val="24"/>
      <w:lang w:val="en-US" w:eastAsia="zh-CN" w:bidi="ar"/>
    </w:rPr>
  </w:style>
  <w:style w:type="paragraph" w:styleId="6">
    <w:name w:val="heading 5"/>
    <w:basedOn w:val="1"/>
    <w:next w:val="1"/>
    <w:unhideWhenUsed/>
    <w:qFormat/>
    <w:uiPriority w:val="0"/>
    <w:pPr>
      <w:widowControl/>
      <w:spacing w:before="0" w:beforeAutospacing="1" w:after="0" w:afterAutospacing="1"/>
      <w:jc w:val="left"/>
    </w:pPr>
    <w:rPr>
      <w:rFonts w:hint="eastAsia" w:ascii="宋体" w:hAnsi="宋体" w:eastAsia="宋体" w:cs="宋体"/>
      <w:b/>
      <w:kern w:val="0"/>
      <w:sz w:val="20"/>
      <w:szCs w:val="20"/>
      <w:lang w:val="en-US" w:eastAsia="zh-CN" w:bidi="ar"/>
    </w:rPr>
  </w:style>
  <w:style w:type="paragraph" w:styleId="7">
    <w:name w:val="heading 6"/>
    <w:basedOn w:val="1"/>
    <w:next w:val="1"/>
    <w:unhideWhenUsed/>
    <w:qFormat/>
    <w:uiPriority w:val="0"/>
    <w:pPr>
      <w:widowControl/>
      <w:spacing w:before="0" w:beforeAutospacing="1" w:after="0" w:afterAutospacing="1"/>
      <w:jc w:val="left"/>
    </w:pPr>
    <w:rPr>
      <w:rFonts w:hint="eastAsia" w:ascii="宋体" w:hAnsi="宋体" w:eastAsia="宋体" w:cs="宋体"/>
      <w:b/>
      <w:kern w:val="0"/>
      <w:sz w:val="15"/>
      <w:szCs w:val="15"/>
      <w:lang w:val="en-US" w:eastAsia="zh-CN" w:bidi="ar"/>
    </w:rPr>
  </w:style>
  <w:style w:type="character" w:default="1" w:styleId="13">
    <w:name w:val="Default Paragraph Font"/>
    <w:semiHidden/>
    <w:uiPriority w:val="0"/>
  </w:style>
  <w:style w:type="table" w:default="1" w:styleId="14">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8">
    <w:name w:val="Body Text"/>
    <w:basedOn w:val="1"/>
    <w:uiPriority w:val="0"/>
    <w:pPr>
      <w:spacing w:before="93" w:beforeLines="30"/>
    </w:pPr>
    <w:rPr>
      <w:rFonts w:ascii="仿宋_GB2312" w:eastAsia="仿宋_GB2312"/>
      <w:sz w:val="30"/>
    </w:rPr>
  </w:style>
  <w:style w:type="paragraph" w:styleId="9">
    <w:name w:val="footer"/>
    <w:basedOn w:val="1"/>
    <w:uiPriority w:val="0"/>
    <w:pPr>
      <w:keepNext w:val="0"/>
      <w:keepLines w:val="0"/>
      <w:widowControl w:val="0"/>
      <w:suppressLineNumbers w:val="0"/>
      <w:snapToGrid w:val="0"/>
      <w:spacing w:before="0" w:beforeAutospacing="0" w:after="0" w:afterAutospacing="0"/>
      <w:ind w:left="0" w:right="0"/>
      <w:jc w:val="left"/>
    </w:pPr>
    <w:rPr>
      <w:rFonts w:hint="default" w:ascii="等线" w:hAnsi="等线" w:eastAsia="等线" w:cs="黑体"/>
      <w:kern w:val="2"/>
      <w:sz w:val="18"/>
      <w:szCs w:val="18"/>
      <w:lang w:val="en-US" w:eastAsia="zh-CN" w:bidi="ar"/>
    </w:rPr>
  </w:style>
  <w:style w:type="paragraph" w:styleId="10">
    <w:name w:val="header"/>
    <w:basedOn w:val="1"/>
    <w:uiPriority w:val="0"/>
    <w:pPr>
      <w:keepNext w:val="0"/>
      <w:keepLines w:val="0"/>
      <w:widowControl w:val="0"/>
      <w:suppressLineNumbers w:val="0"/>
      <w:pBdr>
        <w:top w:val="none" w:color="auto" w:sz="0" w:space="0"/>
        <w:left w:val="none" w:color="auto" w:sz="0" w:space="0"/>
        <w:bottom w:val="single" w:color="auto" w:sz="6" w:space="1"/>
        <w:right w:val="none" w:color="auto" w:sz="0" w:space="0"/>
      </w:pBdr>
      <w:snapToGrid w:val="0"/>
      <w:spacing w:before="0" w:beforeAutospacing="0" w:after="0" w:afterAutospacing="0"/>
      <w:ind w:left="0" w:right="0"/>
      <w:jc w:val="center"/>
    </w:pPr>
    <w:rPr>
      <w:rFonts w:hint="default" w:ascii="等线" w:hAnsi="等线" w:eastAsia="等线" w:cs="黑体"/>
      <w:kern w:val="2"/>
      <w:sz w:val="18"/>
      <w:szCs w:val="18"/>
      <w:lang w:val="en-US" w:eastAsia="zh-CN" w:bidi="ar"/>
    </w:rPr>
  </w:style>
  <w:style w:type="paragraph" w:styleId="11">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character" w:customStyle="1" w:styleId="15">
    <w:name w:val="16"/>
    <w:basedOn w:val="13"/>
    <w:uiPriority w:val="0"/>
    <w:rPr>
      <w:rFonts w:hint="default" w:ascii="Times New Roman" w:hAnsi="Times New Roman" w:cs="Times New Roman"/>
      <w:sz w:val="18"/>
      <w:szCs w:val="18"/>
    </w:rPr>
  </w:style>
  <w:style w:type="character" w:customStyle="1" w:styleId="16">
    <w:name w:val="10"/>
    <w:basedOn w:val="13"/>
    <w:uiPriority w:val="0"/>
    <w:rPr>
      <w:rFonts w:hint="default" w:ascii="Times New Roman" w:hAnsi="Times New Roman" w:cs="Times New Roman"/>
    </w:rPr>
  </w:style>
  <w:style w:type="character" w:customStyle="1" w:styleId="17">
    <w:name w:val="15"/>
    <w:basedOn w:val="13"/>
    <w:uiPriority w:val="0"/>
    <w:rPr>
      <w:rFonts w:hint="default" w:ascii="Times New Roman" w:hAnsi="Times New Roman"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2020-09-25T04:49:55Z</dcterms:created>
  <dc:creator>Administrator</dc:creator>
  <cp:lastModifiedBy>Administrator</cp:lastModifiedBy>
  <dcterms:modified xsi:type="dcterms:W3CDTF">2020-09-25T08:44:55Z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